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19.6 -->
  <w:body>
    <w:p w:rsidR="00A93C8B" w:rsidRPr="009B2976" w:rsidP="009B2976">
      <w:pPr>
        <w:pStyle w:val="BodyText"/>
        <w:spacing w:after="0" w:line="240" w:lineRule="auto"/>
        <w:jc w:val="center"/>
        <w:rPr>
          <w:rFonts w:ascii="Times New Roman" w:eastAsia="宋体" w:hAnsi="Times New Roman" w:cs="Times New Roman"/>
          <w:b/>
          <w:sz w:val="32"/>
          <w:szCs w:val="32"/>
          <w:lang w:eastAsia="zh-CN"/>
        </w:rPr>
      </w:pPr>
      <w:r w:rsidRPr="009B2976">
        <w:rPr>
          <w:rFonts w:ascii="Times New Roman" w:eastAsia="宋体" w:hAnsi="宋体" w:cs="Times New Roman"/>
          <w:b/>
          <w:sz w:val="32"/>
          <w:szCs w:val="32"/>
          <w:lang w:eastAsia="zh-CN"/>
        </w:rPr>
        <w:t>之江教育评价</w:t>
      </w:r>
      <w:r w:rsidRPr="009B2976">
        <w:rPr>
          <w:rFonts w:ascii="Times New Roman" w:eastAsia="宋体" w:hAnsi="Times New Roman" w:cs="Times New Roman"/>
          <w:b/>
          <w:sz w:val="32"/>
          <w:szCs w:val="32"/>
          <w:lang w:eastAsia="zh-CN"/>
        </w:rPr>
        <w:t>2020</w:t>
      </w:r>
      <w:r w:rsidRPr="009B2976">
        <w:rPr>
          <w:rFonts w:ascii="Times New Roman" w:eastAsia="宋体" w:hAnsi="宋体" w:cs="Times New Roman"/>
          <w:b/>
          <w:sz w:val="32"/>
          <w:szCs w:val="32"/>
          <w:lang w:eastAsia="zh-CN"/>
        </w:rPr>
        <w:t>学年第二学期高三返校联考（</w:t>
      </w:r>
      <w:r w:rsidRPr="009B2976">
        <w:rPr>
          <w:rFonts w:ascii="Times New Roman" w:eastAsia="宋体" w:hAnsi="Times New Roman" w:cs="Times New Roman"/>
          <w:b/>
          <w:sz w:val="32"/>
          <w:szCs w:val="32"/>
          <w:lang w:eastAsia="zh-CN"/>
        </w:rPr>
        <w:t>2021.02)</w:t>
      </w:r>
    </w:p>
    <w:p w:rsidR="00A93C8B" w:rsidRPr="009B2976" w:rsidP="009B2976">
      <w:pPr>
        <w:pStyle w:val="BodyText"/>
        <w:spacing w:after="0" w:line="240" w:lineRule="auto"/>
        <w:jc w:val="center"/>
        <w:rPr>
          <w:rFonts w:ascii="Times New Roman" w:eastAsia="宋体" w:hAnsi="Times New Roman" w:cs="Times New Roman"/>
          <w:b/>
          <w:sz w:val="32"/>
          <w:szCs w:val="32"/>
          <w:lang w:eastAsia="zh-CN"/>
        </w:rPr>
      </w:pPr>
      <w:r w:rsidRPr="009B2976">
        <w:rPr>
          <w:rFonts w:ascii="Times New Roman" w:eastAsia="宋体" w:hAnsi="宋体" w:cs="Times New Roman"/>
          <w:b/>
          <w:sz w:val="32"/>
          <w:szCs w:val="32"/>
          <w:lang w:eastAsia="zh-CN"/>
        </w:rPr>
        <w:t>地理试题卷</w:t>
      </w:r>
    </w:p>
    <w:p w:rsidR="00A93C8B" w:rsidRPr="009B2976" w:rsidP="009B2976">
      <w:pPr>
        <w:pStyle w:val="BodyText"/>
        <w:spacing w:after="0" w:line="240" w:lineRule="auto"/>
        <w:jc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命题：茅盾中学审题：澄潭中学、嘉善第二高级中学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考生须知：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本试题卷分选择题和非选择题两部分。全卷共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6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页，满分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100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分，考试时间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90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分钟。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考生答题前，务必将自己的姓名、准考证号用黑色字迹的签字笔或钢笔填写在答题纸上。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选择题部分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b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一、选择题</w:t>
      </w:r>
      <w:r>
        <w:rPr>
          <w:rFonts w:ascii="Times New Roman" w:eastAsia="宋体" w:hAnsi="Times New Roman" w:cs="Times New Roman" w:hint="eastAsia"/>
          <w:b/>
          <w:sz w:val="21"/>
          <w:szCs w:val="21"/>
          <w:lang w:eastAsia="zh-CN"/>
        </w:rPr>
        <w:t>I</w:t>
      </w:r>
      <w:r w:rsidRPr="009B2976"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(</w:t>
      </w: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本题共</w:t>
      </w:r>
      <w:r w:rsidRPr="009B2976"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20</w:t>
      </w: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小题；每小题</w:t>
      </w:r>
      <w:r w:rsidRPr="009B2976"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2</w:t>
      </w: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分，共</w:t>
      </w:r>
      <w:r w:rsidRPr="009B2976"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40</w:t>
      </w: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分。每小题列出的四个备选项中只有一个是符合题目要求的，不选、多选、错选均不得分。）</w:t>
      </w:r>
    </w:p>
    <w:p w:rsidR="00A93C8B" w:rsidRPr="009B2976" w:rsidP="001E1712">
      <w:pPr>
        <w:pStyle w:val="BodyText"/>
        <w:spacing w:after="0" w:line="240" w:lineRule="auto"/>
        <w:ind w:firstLine="315" w:firstLineChars="150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随着机动车保有量不断增加，城市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“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停车难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日益凸显。为缓解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“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停车难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，一些城市鼓励各单位之间分时段提供空余停车位，实现车位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“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错时共享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。完成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题。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最适宜相互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“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错时共享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停车位的单位是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居民小区和政府机关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中小学校和工业企业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医疗机构和商场超市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工业企业和旅游景区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车位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“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错时共享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，利用了各功能区之间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土地价格差异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人员流动差异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生态环境差异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文化背景差异</w:t>
      </w:r>
    </w:p>
    <w:p w:rsidR="00A93C8B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下图示意我国阴山山脉东中西三段植被垂直带谱。完成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3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4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题。</w:t>
      </w:r>
    </w:p>
    <w:p w:rsidR="009B2976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4152900" cy="22002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94477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3.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该山脉东中西三段的基带体现的地域分异规律是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垂直地带性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纬度地带性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干湿度地带性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地方性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4.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与阳坡相比，该山脉阴坡植被垂直带谱较丰富，主要原因是阴坡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纬度高，夏季光照时间长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蒸发弱，土壤含水量较高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冬季风迎风坡，降水较多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相对高度较大，空间广阔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水稻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“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侧深施肥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是在水稻插秧机上安装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“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侧深施肥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装置，在插秧的同时在离水稻秧苗根部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2-3cm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处，将肥料施入深度约为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5cm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的土壤中。完成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5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6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题。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5.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水稻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“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侧深施肥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技术可以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降低水稻生产成本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防止土壤盐渍化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解决土壤污染问题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延长水稻产业链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142240</wp:posOffset>
            </wp:positionV>
            <wp:extent cx="1504950" cy="1200150"/>
            <wp:effectExtent l="19050" t="0" r="0" b="0"/>
            <wp:wrapTight wrapText="bothSides">
              <wp:wrapPolygon>
                <wp:start x="-273" y="0"/>
                <wp:lineTo x="-273" y="21257"/>
                <wp:lineTo x="21600" y="21257"/>
                <wp:lineTo x="21600" y="0"/>
                <wp:lineTo x="-273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6593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6.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下列地区中，适合推广水稻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“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侧深施肥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技术的是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雅鲁藏布江谷地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河西走廊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华北平原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洞庭湖平原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新西兰亚伯塔斯曼国家公园内的分裂苹果岩，是岩浆侵入到上部岩层冷凝后形成的。右图为分裂苹果岩景观图。完成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7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8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题。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7.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分裂苹果岩属于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玄武岩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花岗岩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沉积岩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变质岩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8.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导致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“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苹果岩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分裂的主要外力作用是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38100</wp:posOffset>
            </wp:positionV>
            <wp:extent cx="1095375" cy="2019300"/>
            <wp:effectExtent l="19050" t="0" r="9525" b="0"/>
            <wp:wrapTight wrapText="bothSides">
              <wp:wrapPolygon>
                <wp:start x="-376" y="0"/>
                <wp:lineTo x="-376" y="21396"/>
                <wp:lineTo x="21788" y="21396"/>
                <wp:lineTo x="21788" y="0"/>
                <wp:lineTo x="-376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9325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风化作用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风蚀作用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生物作用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流水作用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中老铁路（昆明－万象）全长近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1000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公里，其中新建线路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900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余公里，设计客运时速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160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公里／小时，货运时速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120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公里／小时，为普速铁路。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2021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年底建成通车后，将成为我国西南地区义一条进出境国际铁路通道。完成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9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题。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9.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中老铁路桥隧占比高的原因是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①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地形崎岖，地质复杂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②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冻土广布，路基易损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③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少占耕地，保护农田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④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原始森林，生态敏感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 w:rsidRPr="009B2976">
        <w:rPr>
          <w:rFonts w:ascii="Times New Roman" w:eastAsia="宋体" w:hAnsi="Times New Roman" w:cs="Times New Roman"/>
          <w:sz w:val="21"/>
          <w:szCs w:val="21"/>
        </w:rPr>
        <w:t>A.</w:t>
      </w:r>
      <w:r w:rsidRPr="009B2976">
        <w:rPr>
          <w:rFonts w:ascii="宋体" w:eastAsia="宋体" w:hAnsi="宋体" w:cs="Times New Roman"/>
          <w:sz w:val="21"/>
          <w:szCs w:val="21"/>
        </w:rPr>
        <w:t>①②</w:t>
      </w:r>
      <w:r w:rsidRPr="009B2976">
        <w:rPr>
          <w:rFonts w:ascii="Times New Roman" w:eastAsia="宋体" w:hAnsi="Times New Roman" w:cs="Times New Roman"/>
          <w:sz w:val="21"/>
          <w:szCs w:val="21"/>
        </w:rPr>
        <w:t>B.</w:t>
      </w:r>
      <w:r w:rsidRPr="009B2976">
        <w:rPr>
          <w:rFonts w:ascii="宋体" w:eastAsia="宋体" w:hAnsi="宋体" w:cs="Times New Roman"/>
          <w:sz w:val="21"/>
          <w:szCs w:val="21"/>
        </w:rPr>
        <w:t>③④</w:t>
      </w:r>
      <w:r w:rsidRPr="009B2976">
        <w:rPr>
          <w:rFonts w:ascii="Times New Roman" w:eastAsia="宋体" w:hAnsi="Times New Roman" w:cs="Times New Roman"/>
          <w:sz w:val="21"/>
          <w:szCs w:val="21"/>
        </w:rPr>
        <w:t>C.</w:t>
      </w:r>
      <w:r w:rsidRPr="009B2976">
        <w:rPr>
          <w:rFonts w:ascii="宋体" w:eastAsia="宋体" w:hAnsi="宋体" w:cs="Times New Roman"/>
          <w:sz w:val="21"/>
          <w:szCs w:val="21"/>
        </w:rPr>
        <w:t>②③</w:t>
      </w:r>
      <w:r w:rsidRPr="009B2976">
        <w:rPr>
          <w:rFonts w:ascii="Times New Roman" w:eastAsia="宋体" w:hAnsi="Times New Roman" w:cs="Times New Roman"/>
          <w:sz w:val="21"/>
          <w:szCs w:val="21"/>
        </w:rPr>
        <w:t>D.</w:t>
      </w:r>
      <w:r w:rsidRPr="009B2976">
        <w:rPr>
          <w:rFonts w:ascii="宋体" w:eastAsia="宋体" w:hAnsi="宋体" w:cs="Times New Roman"/>
          <w:sz w:val="21"/>
          <w:szCs w:val="21"/>
        </w:rPr>
        <w:t>①④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10.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中老铁路按普速铁路标准建设而不建设成为高铁的原因是</w:t>
      </w:r>
    </w:p>
    <w:p w:rsidR="009B2976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人口稠密，客运需求量大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公路便利，无需客运专线</w:t>
      </w:r>
    </w:p>
    <w:p w:rsidR="009B2976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经济落后，兼顾客运货运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地震频发，高铁运行困难</w:t>
      </w:r>
    </w:p>
    <w:p w:rsidR="00A93C8B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中央气象台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2020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年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12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27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日发布寒潮预警，预计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12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28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日至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31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日，寒潮天气将影响我国中东部地区，大部地区将出现入冬以来最寒冷天气，下图为全国降温幅度预报图。完成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12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题。</w:t>
      </w:r>
    </w:p>
    <w:p w:rsidR="009B2976" w:rsidRPr="009B2976" w:rsidP="009B2976">
      <w:pPr>
        <w:pStyle w:val="BodyText"/>
        <w:spacing w:after="0" w:line="240" w:lineRule="auto"/>
        <w:jc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2590800" cy="219075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90769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11.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制作此图所用的地理信息技术是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</w:rPr>
        <w:t>A.GIS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 xml:space="preserve">           </w:t>
      </w:r>
      <w:r w:rsidRPr="009B2976">
        <w:rPr>
          <w:rFonts w:ascii="Times New Roman" w:eastAsia="宋体" w:hAnsi="Times New Roman" w:cs="Times New Roman"/>
          <w:sz w:val="21"/>
          <w:szCs w:val="21"/>
        </w:rPr>
        <w:t>B.RS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 xml:space="preserve">          </w:t>
      </w:r>
      <w:r w:rsidRPr="009B2976">
        <w:rPr>
          <w:rFonts w:ascii="Times New Roman" w:eastAsia="宋体" w:hAnsi="Times New Roman" w:cs="Times New Roman"/>
          <w:sz w:val="21"/>
          <w:szCs w:val="21"/>
        </w:rPr>
        <w:t>C.GPS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 xml:space="preserve">     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D.BDS(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北斗系统）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12.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图中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S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地的预计降温幅度大小及其原因是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降温幅度偏小，热岛效应明显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降温幅度偏小，地形阻挡显著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降温幅度偏大，前期气温偏高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降温幅度偏大，狭管效应增强</w:t>
      </w:r>
    </w:p>
    <w:p w:rsidR="00A93C8B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318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国道被誉为中国的景观大道，吸引了大量游客。图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为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318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国道某路段及其附近等高线分布示意图，图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为某游客拍摄的照片。完成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13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14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题。</w:t>
      </w:r>
    </w:p>
    <w:p w:rsidR="009B2976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4724400" cy="180975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76452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13.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照片拍摄时，游客所处的位置及拍摄方向分别是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甲，西南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乙，东南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丙，东北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丁，正东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14.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从甲地至丁地，对沿途情况描述正确的是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沿途可见漫山遍野常绿林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甲乙段可见窗外怒江奔流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乙丙段为下坡，坡陡弯多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丙丁段为上坡，坡度和缓</w:t>
      </w:r>
    </w:p>
    <w:p w:rsidR="00A93C8B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下图为某地农业分布示意图。完成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15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16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题。</w:t>
      </w:r>
    </w:p>
    <w:p w:rsidR="009B2976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3467100" cy="218122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40506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15.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该地区奶牛、蔬菜、果树布局的主导区位因素是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地形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土壤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市场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交通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16.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与澳大利亚墨累－－达令盆地农业地域类型一致，对农产品市场有较强的适应性、可以灵活地根据市场变化调整农业生产的区域是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①</w:t>
      </w:r>
      <w:r>
        <w:rPr>
          <w:rFonts w:ascii="宋体" w:eastAsia="宋体" w:hAnsi="宋体" w:cs="Times New Roman" w:hint="eastAsia"/>
          <w:sz w:val="21"/>
          <w:szCs w:val="21"/>
          <w:lang w:eastAsia="zh-CN"/>
        </w:rPr>
        <w:t xml:space="preserve">         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②</w:t>
      </w:r>
      <w:r>
        <w:rPr>
          <w:rFonts w:ascii="宋体" w:eastAsia="宋体" w:hAnsi="宋体" w:cs="Times New Roman" w:hint="eastAsia"/>
          <w:sz w:val="21"/>
          <w:szCs w:val="21"/>
          <w:lang w:eastAsia="zh-CN"/>
        </w:rPr>
        <w:t xml:space="preserve">           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③</w:t>
      </w:r>
      <w:r>
        <w:rPr>
          <w:rFonts w:ascii="宋体" w:eastAsia="宋体" w:hAnsi="宋体" w:cs="Times New Roman" w:hint="eastAsia"/>
          <w:sz w:val="21"/>
          <w:szCs w:val="21"/>
          <w:lang w:eastAsia="zh-CN"/>
        </w:rPr>
        <w:t xml:space="preserve">       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④</w:t>
      </w:r>
    </w:p>
    <w:p w:rsidR="00A93C8B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电力强度是指单位产值所消耗的电能。下图示意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1985~2014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年中国电力强度重心迁移轨迹。完成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17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18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题。</w:t>
      </w:r>
    </w:p>
    <w:p w:rsidR="009B2976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3257550" cy="125730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905746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17.1985~2014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年中国电力强度重心始终位于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中部地区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西部地区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东部季风区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西北干旱半干旱区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18.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影响我国电力强度重心迁移的因素有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①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产业结构差异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②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科技水平差异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③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产业升级与产业转移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④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经济发展速度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107950</wp:posOffset>
            </wp:positionV>
            <wp:extent cx="1266825" cy="981075"/>
            <wp:effectExtent l="19050" t="0" r="9525" b="0"/>
            <wp:wrapTight wrapText="bothSides">
              <wp:wrapPolygon>
                <wp:start x="-325" y="0"/>
                <wp:lineTo x="-325" y="21390"/>
                <wp:lineTo x="21762" y="21390"/>
                <wp:lineTo x="21762" y="0"/>
                <wp:lineTo x="-325" y="0"/>
              </wp:wrapPolygon>
            </wp:wrapTight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36724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2976">
        <w:rPr>
          <w:rFonts w:ascii="Times New Roman" w:eastAsia="宋体" w:hAnsi="Times New Roman" w:cs="Times New Roman"/>
          <w:sz w:val="21"/>
          <w:szCs w:val="21"/>
        </w:rPr>
        <w:t>A.</w:t>
      </w:r>
      <w:r w:rsidRPr="009B2976">
        <w:rPr>
          <w:rFonts w:ascii="宋体" w:eastAsia="宋体" w:hAnsi="宋体" w:cs="Times New Roman"/>
          <w:sz w:val="21"/>
          <w:szCs w:val="21"/>
        </w:rPr>
        <w:t>①②③</w:t>
      </w:r>
      <w:r w:rsidRPr="009B2976">
        <w:rPr>
          <w:rFonts w:ascii="Times New Roman" w:eastAsia="宋体" w:hAnsi="Times New Roman" w:cs="Times New Roman"/>
          <w:sz w:val="21"/>
          <w:szCs w:val="21"/>
        </w:rPr>
        <w:t>B.</w:t>
      </w:r>
      <w:r w:rsidRPr="009B2976">
        <w:rPr>
          <w:rFonts w:ascii="宋体" w:eastAsia="宋体" w:hAnsi="宋体" w:cs="Times New Roman"/>
          <w:sz w:val="21"/>
          <w:szCs w:val="21"/>
        </w:rPr>
        <w:t>①②④</w:t>
      </w:r>
      <w:r w:rsidRPr="009B2976">
        <w:rPr>
          <w:rFonts w:ascii="Times New Roman" w:eastAsia="宋体" w:hAnsi="Times New Roman" w:cs="Times New Roman"/>
          <w:sz w:val="21"/>
          <w:szCs w:val="21"/>
        </w:rPr>
        <w:t>C.</w:t>
      </w:r>
      <w:r w:rsidRPr="009B2976">
        <w:rPr>
          <w:rFonts w:ascii="宋体" w:eastAsia="宋体" w:hAnsi="宋体" w:cs="Times New Roman"/>
          <w:sz w:val="21"/>
          <w:szCs w:val="21"/>
        </w:rPr>
        <w:t>①③④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②③④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国内某校同学在操场上画一半径为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米的圆，并在圆心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O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点竖立一根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米高的竿子（如图），做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“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立竿测影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实验。他们发现，只要是晴天，一天内竿影末端两次划过该圆。完成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19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题。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19.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该地最可能位于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海口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杭州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北京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拉萨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20.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从夏至日到冬至日，一天中竿影末端两次划过该圆的时间间隔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一直变长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一直变短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先变短后变长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先变长后变短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b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二、选择题</w:t>
      </w:r>
      <w:r w:rsidRPr="009B2976">
        <w:rPr>
          <w:rFonts w:ascii="Times New Roman" w:eastAsia="宋体" w:hAnsi="Times New Roman" w:cs="Times New Roman" w:hint="eastAsia"/>
          <w:b/>
          <w:sz w:val="21"/>
          <w:szCs w:val="21"/>
          <w:lang w:eastAsia="zh-CN"/>
        </w:rPr>
        <w:t>II</w:t>
      </w:r>
      <w:r w:rsidRPr="009B2976"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(</w:t>
      </w: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本题共</w:t>
      </w:r>
      <w:r w:rsidRPr="009B2976"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5</w:t>
      </w: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小题；每小题</w:t>
      </w:r>
      <w:r w:rsidRPr="009B2976"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3</w:t>
      </w: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分，共</w:t>
      </w:r>
      <w:r w:rsidRPr="009B2976"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15</w:t>
      </w: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分。每小题列出的四个备选项中只有一个是符合题目要求的，不选、多选、错选均不得分。）</w:t>
      </w:r>
    </w:p>
    <w:p w:rsidR="00A93C8B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涌泉根灌是通过微管把水肥溶液直接输送到果树根区，进行地下局部灌溉的新型灌溉方式。下图示意研究人员某年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6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月初在陕西省某果园，采用不同方式（滴灌和涌泉根灌）用等量的水灌溉后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小时和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24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小时土壤含水量的垂直分布状况。完成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22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drawing>
          <wp:inline>
            <wp:extent cx="254000" cy="25400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3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题。</w:t>
      </w:r>
    </w:p>
    <w:p w:rsidR="009B2976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  <w:r>
        <w:rPr>
          <w:rFonts w:ascii="Times New Roman" w:eastAsia="宋体" w:hAnsi="宋体" w:cs="Times New Roman" w:hint="eastAsia"/>
          <w:noProof/>
          <w:sz w:val="21"/>
          <w:szCs w:val="21"/>
          <w:lang w:eastAsia="zh-CN"/>
        </w:rPr>
        <w:drawing>
          <wp:inline distT="0" distB="0" distL="0" distR="0">
            <wp:extent cx="2266950" cy="172402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079776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976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21.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图中表示滴灌后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24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小时上壤含水量的曲线序号是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①</w:t>
      </w:r>
      <w:r>
        <w:rPr>
          <w:rFonts w:ascii="宋体" w:eastAsia="宋体" w:hAnsi="宋体" w:cs="Times New Roman" w:hint="eastAsia"/>
          <w:sz w:val="21"/>
          <w:szCs w:val="21"/>
          <w:lang w:eastAsia="zh-CN"/>
        </w:rPr>
        <w:t xml:space="preserve">   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②</w:t>
      </w:r>
      <w:r>
        <w:rPr>
          <w:rFonts w:ascii="宋体" w:eastAsia="宋体" w:hAnsi="宋体" w:cs="Times New Roman" w:hint="eastAsia"/>
          <w:sz w:val="21"/>
          <w:szCs w:val="21"/>
          <w:lang w:eastAsia="zh-CN"/>
        </w:rPr>
        <w:t xml:space="preserve">    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③</w:t>
      </w:r>
      <w:r>
        <w:rPr>
          <w:rFonts w:ascii="宋体" w:eastAsia="宋体" w:hAnsi="宋体" w:cs="Times New Roman" w:hint="eastAsia"/>
          <w:sz w:val="21"/>
          <w:szCs w:val="21"/>
          <w:lang w:eastAsia="zh-CN"/>
        </w:rPr>
        <w:t xml:space="preserve">   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④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22.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该果园果树根系集中分布的土壤深度为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 w:rsidRPr="009B2976">
        <w:rPr>
          <w:rFonts w:ascii="Times New Roman" w:eastAsia="宋体" w:hAnsi="Times New Roman" w:cs="Times New Roman"/>
          <w:sz w:val="21"/>
          <w:szCs w:val="21"/>
        </w:rPr>
        <w:t>A.0-30</w:t>
      </w:r>
      <w:r w:rsidRPr="009B2976">
        <w:rPr>
          <w:rFonts w:ascii="Times New Roman" w:eastAsia="宋体" w:hAnsi="宋体" w:cs="Times New Roman"/>
          <w:sz w:val="21"/>
          <w:szCs w:val="21"/>
        </w:rPr>
        <w:t>厘米</w:t>
      </w:r>
      <w:r w:rsidRPr="009B2976">
        <w:rPr>
          <w:rFonts w:ascii="Times New Roman" w:eastAsia="宋体" w:hAnsi="Times New Roman" w:cs="Times New Roman"/>
          <w:sz w:val="21"/>
          <w:szCs w:val="21"/>
        </w:rPr>
        <w:t>B.40-70</w:t>
      </w:r>
      <w:r w:rsidRPr="009B2976">
        <w:rPr>
          <w:rFonts w:ascii="Times New Roman" w:eastAsia="宋体" w:hAnsi="宋体" w:cs="Times New Roman"/>
          <w:sz w:val="21"/>
          <w:szCs w:val="21"/>
        </w:rPr>
        <w:t>厘米</w:t>
      </w:r>
      <w:r w:rsidRPr="009B2976">
        <w:rPr>
          <w:rFonts w:ascii="Times New Roman" w:eastAsia="宋体" w:hAnsi="Times New Roman" w:cs="Times New Roman"/>
          <w:sz w:val="21"/>
          <w:szCs w:val="21"/>
        </w:rPr>
        <w:t>C.60-90</w:t>
      </w:r>
      <w:r w:rsidRPr="009B2976">
        <w:rPr>
          <w:rFonts w:ascii="Times New Roman" w:eastAsia="宋体" w:hAnsi="宋体" w:cs="Times New Roman"/>
          <w:sz w:val="21"/>
          <w:szCs w:val="21"/>
        </w:rPr>
        <w:t>厘米</w:t>
      </w:r>
      <w:r w:rsidRPr="009B2976">
        <w:rPr>
          <w:rFonts w:ascii="Times New Roman" w:eastAsia="宋体" w:hAnsi="Times New Roman" w:cs="Times New Roman"/>
          <w:sz w:val="21"/>
          <w:szCs w:val="21"/>
        </w:rPr>
        <w:t>D.90-120</w:t>
      </w:r>
      <w:r w:rsidRPr="009B2976">
        <w:rPr>
          <w:rFonts w:ascii="Times New Roman" w:eastAsia="宋体" w:hAnsi="宋体" w:cs="Times New Roman"/>
          <w:sz w:val="21"/>
          <w:szCs w:val="21"/>
        </w:rPr>
        <w:t>厘米</w:t>
      </w:r>
    </w:p>
    <w:p w:rsidR="00A93C8B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下图示意亚洲某国部分地理要素分布图。完成第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23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题。</w:t>
      </w:r>
    </w:p>
    <w:p w:rsidR="009B2976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3667125" cy="1333500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43149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23.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据图示信息推断，甲、乙、丙、丁四城市，人口数量最多的是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甲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乙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丙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丁</w:t>
      </w:r>
    </w:p>
    <w:p w:rsidR="00A93C8B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下表是亚欧大陆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40°N~50°N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四地气温距平值和降水距平值（距平值是该地气温、降水与同纬度气温、降水平均值之差）。完成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24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25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题。</w:t>
      </w:r>
    </w:p>
    <w:p w:rsidR="009B2976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  <w:r>
        <w:rPr>
          <w:rFonts w:ascii="Times New Roman" w:eastAsia="宋体" w:hAnsi="宋体" w:cs="Times New Roman" w:hint="eastAsia"/>
          <w:noProof/>
          <w:sz w:val="21"/>
          <w:szCs w:val="21"/>
          <w:lang w:eastAsia="zh-CN"/>
        </w:rPr>
        <w:drawing>
          <wp:inline distT="0" distB="0" distL="0" distR="0">
            <wp:extent cx="4838700" cy="101917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44284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976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p w:rsidR="00A93C8B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24.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四地中，可能位于亚欧大陆西岸的是</w:t>
      </w:r>
    </w:p>
    <w:p w:rsidR="009B2976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①②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②③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③④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①③</w:t>
      </w:r>
    </w:p>
    <w:p w:rsidR="00A93C8B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25.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以下有关四地的说法，正确的是</w:t>
      </w:r>
    </w:p>
    <w:p w:rsidR="009B2976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①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地受气压带、风带交替控制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②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地河流终年不冻利于航运</w:t>
      </w:r>
    </w:p>
    <w:p w:rsidR="00A93C8B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③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地受季风影响降水变率较大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 w:rsidRPr="009B2976">
        <w:rPr>
          <w:rFonts w:ascii="宋体" w:eastAsia="宋体" w:hAnsi="宋体" w:cs="Times New Roman"/>
          <w:sz w:val="21"/>
          <w:szCs w:val="21"/>
          <w:lang w:eastAsia="zh-CN"/>
        </w:rPr>
        <w:t>④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地深居内陆终年降水稀少</w:t>
      </w:r>
    </w:p>
    <w:p w:rsidR="00A93C8B" w:rsidRPr="009B2976" w:rsidP="009B2976">
      <w:pPr>
        <w:pStyle w:val="BodyText"/>
        <w:spacing w:after="0" w:line="240" w:lineRule="auto"/>
        <w:jc w:val="center"/>
        <w:rPr>
          <w:rFonts w:ascii="Times New Roman" w:eastAsia="宋体" w:hAnsi="Times New Roman" w:cs="Times New Roman"/>
          <w:b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非选择题部分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b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三、非选择题（本大题共</w:t>
      </w:r>
      <w:r w:rsidRPr="009B2976"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4</w:t>
      </w: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小题；其中第</w:t>
      </w:r>
      <w:r w:rsidRPr="009B2976"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26</w:t>
      </w: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小题</w:t>
      </w:r>
      <w:r w:rsidRPr="009B2976"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10</w:t>
      </w: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分，第</w:t>
      </w:r>
      <w:r w:rsidRPr="009B2976"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27</w:t>
      </w: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小题</w:t>
      </w:r>
      <w:r w:rsidRPr="009B2976"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10</w:t>
      </w: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分，第</w:t>
      </w:r>
      <w:r w:rsidRPr="009B2976"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28</w:t>
      </w: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小题</w:t>
      </w:r>
      <w:r w:rsidRPr="009B2976"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12</w:t>
      </w: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分，第</w:t>
      </w:r>
      <w:r w:rsidRPr="009B2976"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29</w:t>
      </w: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小题</w:t>
      </w:r>
      <w:r w:rsidRPr="009B2976"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13</w:t>
      </w: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分；共</w:t>
      </w:r>
      <w:r w:rsidRPr="009B2976"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45</w:t>
      </w: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分。）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26.(10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分）阅读材料，完成下列问题。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材料</w:t>
      </w:r>
      <w:r>
        <w:rPr>
          <w:rFonts w:ascii="Times New Roman" w:eastAsia="宋体" w:hAnsi="宋体" w:cs="Times New Roman" w:hint="eastAsia"/>
          <w:sz w:val="21"/>
          <w:szCs w:val="21"/>
          <w:lang w:eastAsia="zh-CN"/>
        </w:rPr>
        <w:t>一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白洋淀（淀为浅湖）是华北地区主要的淡水湿地分布区，被誉为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“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华北之肾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。自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世纪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80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年代以来，白洋淀流域人口激增，工农业发展较快，大量开采地下水，上游大批水库截水，毁林开荒，水土流失严重，河道淤积，入淀水量明显下降。在雄安新区的建设中，白洋淀是生态保护的重点。</w:t>
      </w:r>
    </w:p>
    <w:p w:rsidR="00A93C8B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材料二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 xml:space="preserve"> 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图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为白洋淀及周围地区地理简图，图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为白洋淀蒸发量年内变化图。</w:t>
      </w:r>
    </w:p>
    <w:p w:rsidR="009B2976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5305425" cy="1485900"/>
            <wp:effectExtent l="1905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015896" name="Picture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1)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从气候角度分析，白洋淀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月水位低的原因是</w:t>
      </w:r>
      <w:r>
        <w:rPr>
          <w:rFonts w:ascii="Times New Roman" w:eastAsia="宋体" w:hAnsi="宋体" w:cs="Times New Roman" w:hint="eastAsia"/>
          <w:sz w:val="21"/>
          <w:szCs w:val="21"/>
          <w:u w:val="single"/>
          <w:lang w:eastAsia="zh-CN"/>
        </w:rPr>
        <w:t xml:space="preserve">                         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，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5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6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月水位偏低的原因是</w:t>
      </w:r>
      <w:r>
        <w:rPr>
          <w:rFonts w:ascii="Times New Roman" w:eastAsia="宋体" w:hAnsi="宋体" w:cs="Times New Roman" w:hint="eastAsia"/>
          <w:sz w:val="21"/>
          <w:szCs w:val="21"/>
          <w:u w:val="single"/>
          <w:lang w:eastAsia="zh-CN"/>
        </w:rPr>
        <w:t xml:space="preserve">                 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3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2)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概述白洋淀在调节保护生态环境方面的具体表现。（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4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3)20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世纪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80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年代以来，白洋淀几度面临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“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干淀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困境。为解决这一困境，雄安新区在建设中可以采取哪些有效措施？（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3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27.(10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分）阅读材料，完成下列问题。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材料一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 xml:space="preserve"> 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第聂伯河源出俄罗斯，向南注入黑海，全长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2200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千米。图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为第聂伯河流域示意图。</w:t>
      </w:r>
    </w:p>
    <w:p w:rsidR="00A93C8B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材料二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 xml:space="preserve"> 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黑龙江、乌苏里江和松花江三江汇流、冲积而成的三江平原分布着我国面积最大的湿地。</w:t>
      </w:r>
    </w:p>
    <w:p w:rsidR="009B2976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3952875" cy="2266950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80654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1)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从水循环的角度分析三江平原沼泽湿地广布的原因。（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4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2)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乌苏里江的主要补给类型是</w:t>
      </w:r>
      <w:r>
        <w:rPr>
          <w:rFonts w:ascii="Times New Roman" w:eastAsia="宋体" w:hAnsi="宋体" w:cs="Times New Roman" w:hint="eastAsia"/>
          <w:sz w:val="21"/>
          <w:szCs w:val="21"/>
          <w:u w:val="single"/>
          <w:lang w:eastAsia="zh-CN"/>
        </w:rPr>
        <w:t xml:space="preserve">            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第聂伯河的主要补给类型是</w:t>
      </w:r>
      <w:r>
        <w:rPr>
          <w:rFonts w:ascii="Times New Roman" w:eastAsia="宋体" w:hAnsi="宋体" w:cs="Times New Roman" w:hint="eastAsia"/>
          <w:sz w:val="21"/>
          <w:szCs w:val="21"/>
          <w:u w:val="single"/>
          <w:lang w:eastAsia="zh-CN"/>
        </w:rPr>
        <w:t xml:space="preserve">            .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。分析第聂伯河主要补给类型与乌苏里江不同的原因。（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6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28.(12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分）阅读材料，完成下列问题。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材料一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 xml:space="preserve"> 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农业是肯尼亚的支柱产业之一。近年鲜花产业发展较快，出口鲜花约占欧盟市场的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1/3.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内罗毕主要工业部门有烟草、食品、纺织、制革等，蒙巴萨主要工业部门有炼油、修船、水泥等。肯尼亚航空业较为发达，与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30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多个欧美国家和地区通航。</w:t>
      </w:r>
    </w:p>
    <w:p w:rsidR="00A93C8B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材料二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 xml:space="preserve"> 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图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为肯尼亚及毗邻国家略图，图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为图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中沿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AB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线地形剖面示意图。</w:t>
      </w:r>
    </w:p>
    <w:p w:rsidR="009B2976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5133975" cy="1905000"/>
            <wp:effectExtent l="1905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120555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1)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指出图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中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2000mm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降雨高值区分布特征并说明成因。（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4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2)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判断肯尼亚鲜花种植业分布的地形类型并分析其区位优势。（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4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3)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比较内罗毕与蒙巴萨工业结构的主要差异，并分析肯尼亚炼油工业主要分布在蒙巴萨的原因。（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4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29.(13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分）阅读材料，完成下列问题。</w:t>
      </w:r>
    </w:p>
    <w:p w:rsidR="00A93C8B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材料</w:t>
      </w:r>
      <w:r>
        <w:rPr>
          <w:rFonts w:ascii="Times New Roman" w:eastAsia="宋体" w:hAnsi="宋体" w:cs="Times New Roman" w:hint="eastAsia"/>
          <w:sz w:val="21"/>
          <w:szCs w:val="21"/>
          <w:lang w:eastAsia="zh-CN"/>
        </w:rPr>
        <w:t>一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黄河滩区，指黄河主河槽与黄河大堤之间的滩地区域，长期以来有人定居。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世纪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80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年代以来，主河槽泥沙淤积严重，呈现出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“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槽高于滩、滩又高于平原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的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“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二级悬河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局面。图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为黄河下游某区域卫星图，图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为二级悬河示意图。</w:t>
      </w:r>
    </w:p>
    <w:p w:rsidR="009B2976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5181600" cy="170497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20969" name="Picture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材料二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2019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年，河南省提出以中牟县、兰考县等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9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个县为重点，按照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“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种好草、养好地、喂好牛、产好奶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的发展思路，打造黄河滩区优质草业带，大力发展优质饲草种植和畜牧产业。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1)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简述人们在黄河滩区定居的主要原因。（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4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2)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说明滩区洪涝多发的原因。（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4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3)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与我国传统牧区相比，评价黄河滩区发展备牧业的区位条件。（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5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9B2976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</w:p>
    <w:p w:rsidR="009B2976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</w:p>
    <w:p w:rsidR="00A93C8B" w:rsidRPr="009B2976" w:rsidP="009B2976">
      <w:pPr>
        <w:pStyle w:val="BodyText"/>
        <w:spacing w:after="0" w:line="240" w:lineRule="auto"/>
        <w:jc w:val="center"/>
        <w:rPr>
          <w:rFonts w:ascii="Times New Roman" w:eastAsia="宋体" w:hAnsi="Times New Roman" w:cs="Times New Roman"/>
          <w:b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之江教育评价</w:t>
      </w:r>
      <w:r w:rsidRPr="009B2976"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2020</w:t>
      </w: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学年第二学期高三返校联考（</w:t>
      </w:r>
      <w:r w:rsidRPr="009B2976"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2021.02)</w:t>
      </w:r>
    </w:p>
    <w:p w:rsidR="00A93C8B" w:rsidRPr="009B2976" w:rsidP="009B2976">
      <w:pPr>
        <w:pStyle w:val="BodyText"/>
        <w:spacing w:after="0" w:line="240" w:lineRule="auto"/>
        <w:jc w:val="center"/>
        <w:rPr>
          <w:rFonts w:ascii="Times New Roman" w:eastAsia="宋体" w:hAnsi="Times New Roman" w:cs="Times New Roman"/>
          <w:b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b/>
          <w:sz w:val="21"/>
          <w:szCs w:val="21"/>
          <w:lang w:eastAsia="zh-CN"/>
        </w:rPr>
        <w:t>地理参考答案及评分标准</w:t>
      </w:r>
    </w:p>
    <w:p w:rsidR="00A93C8B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一、选择题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I(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本题共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小题；每小题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分；共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40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分。每小题列出的四个备选项中只有一个是符合题目要求的，不选、多选、错选均不得分。）</w:t>
      </w:r>
    </w:p>
    <w:p w:rsidR="009B2976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4114800" cy="103822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7039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8B" w:rsidP="009B2976">
      <w:pPr>
        <w:pStyle w:val="BodyText"/>
        <w:spacing w:after="0" w:line="240" w:lineRule="auto"/>
        <w:rPr>
          <w:rFonts w:ascii="Times New Roman" w:eastAsia="宋体" w:hAnsi="宋体" w:cs="Times New Roman" w:hint="eastAsia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二、选择题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II(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本题共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5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小题；每小题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3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分；共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15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分。每小题列出的四个备选项中只有一个是符合题目要求的，不选、多选、错选均不得分。）</w:t>
      </w:r>
    </w:p>
    <w:p w:rsidR="009B2976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2247900" cy="523875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699597" name="Picture 5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三、非选择题（本大题共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4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小题；共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45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分。）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26.(10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1)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降水少；（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分）降水少、（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分）蒸发大。（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·(2)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调节气候；（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分）调节径流；（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分）涵养水源；（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分）保持生物多样性。（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3)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跨流域调水；海水淡化；合理开采地下水；提高水资源利用率等。（每点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分，任答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3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点即可）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27.(10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1)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季风气候，降水较丰富；（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分）气候温凉，蒸发微弱；（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分）冻土广布，不易下渗；（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分）地势低平，排水不畅。（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2)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雨水补给；（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分）季节性积雪融水补给。（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分）原因：地处温带大陆性气候区，年降水总量较少，雨水补给少；（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分）冬季降雪较丰富、气温低，积雪量大，春季融水多。（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28.(12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1)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分布特征：维多利亚湖西侧（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分）成因：印度洋暖湿偏东风经过维多利亚湖面，空气湿度增加；（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分）受山地阻挡，气流抬升，形成地形雨；（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分）赤道地区对流旺盛等。（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2)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地形类型：高原（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分）区位优势：气候温暖湿润；（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分）农业劳动力丰富；（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分）航空运输便利等。（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·(3)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工业结构差异：内罗毕以轻工业为主；蒙巴萨以重工业为主。（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分）主要原因：肯尼亚石油需要进口；蒙巴萨海运便利；沿海，环境承载力大等。（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分，三选二）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29.(13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1)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人地矛盾突出（人多地少）；（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分）地形平坦、土壤肥沃、水源便利等。（任意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点，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2)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汛期上游来水量大且集中；（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分）地势低平；（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分）槽高于滩；（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分）堤防不够坚固。（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3)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优势：水热条件好；（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分）市场需求大（市场距离近）；（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分）交通便利。（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p w:rsidR="00A93C8B" w:rsidRPr="009B2976" w:rsidP="009B2976">
      <w:pPr>
        <w:pStyle w:val="BodyText"/>
        <w:spacing w:after="0" w:line="24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不足：洪涝多发；（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分）草场面积小。（</w:t>
      </w:r>
      <w:r w:rsidRPr="009B2976"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 w:rsidRPr="009B2976">
        <w:rPr>
          <w:rFonts w:ascii="Times New Roman" w:eastAsia="宋体" w:hAnsi="宋体" w:cs="Times New Roman"/>
          <w:sz w:val="21"/>
          <w:szCs w:val="21"/>
          <w:lang w:eastAsia="zh-CN"/>
        </w:rPr>
        <w:t>分）</w:t>
      </w:r>
    </w:p>
    <w:sectPr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B47730"/>
    <w:rsid w:val="00034616"/>
    <w:rsid w:val="0006063C"/>
    <w:rsid w:val="0015074B"/>
    <w:rsid w:val="001E1712"/>
    <w:rsid w:val="0029639D"/>
    <w:rsid w:val="00326F90"/>
    <w:rsid w:val="009B2976"/>
    <w:rsid w:val="00A93C8B"/>
    <w:rsid w:val="00AA1D8D"/>
    <w:rsid w:val="00B47730"/>
    <w:rsid w:val="00CB0664"/>
    <w:rsid w:val="00D46029"/>
    <w:rsid w:val="00F73AFB"/>
    <w:rsid w:val="00FC693F"/>
  </w:rsids>
  <m:mathPr>
    <m:mathFont m:val="Cambria Math"/>
    <m:smallFrac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微软雅黑" w:eastAsia="微软雅黑" w:hAnsi="微软雅黑"/>
    </w:rPr>
  </w:style>
  <w:style w:type="paragraph" w:styleId="Heading1">
    <w:name w:val="heading 1"/>
    <w:basedOn w:val="Normal"/>
    <w:next w:val="Normal"/>
    <w:link w:val="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页眉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Char0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脚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1Char">
    <w:name w:val="标题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Char1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标题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Char2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2">
    <w:name w:val="副标题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Char3"/>
    <w:uiPriority w:val="99"/>
    <w:unhideWhenUsed/>
    <w:rsid w:val="00AA1D8D"/>
    <w:pPr>
      <w:spacing w:after="120"/>
    </w:pPr>
  </w:style>
  <w:style w:type="character" w:customStyle="1" w:styleId="Char3">
    <w:name w:val="正文文本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2Char0"/>
    <w:uiPriority w:val="99"/>
    <w:unhideWhenUsed/>
    <w:rsid w:val="00AA1D8D"/>
    <w:pPr>
      <w:spacing w:after="120" w:line="480" w:lineRule="auto"/>
    </w:pPr>
  </w:style>
  <w:style w:type="character" w:customStyle="1" w:styleId="2Char0">
    <w:name w:val="正文文本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3Char0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">
    <w:name w:val="macro"/>
    <w:link w:val="Char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Char4">
    <w:name w:val="宏文本 Char"/>
    <w:basedOn w:val="DefaultParagraphFont"/>
    <w:link w:val="Macro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Char5"/>
    <w:uiPriority w:val="29"/>
    <w:qFormat/>
    <w:rsid w:val="00FC693F"/>
    <w:rPr>
      <w:i/>
      <w:iCs/>
      <w:color w:val="000000" w:themeColor="text1"/>
    </w:rPr>
  </w:style>
  <w:style w:type="character" w:customStyle="1" w:styleId="Char5">
    <w:name w:val="引用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4Char">
    <w:name w:val="标题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标题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标题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标题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标题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Char6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6">
    <w:name w:val="明显引用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Col">
      <w:rPr>
        <w:b/>
        <w:bCs/>
      </w:r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Col">
      <w:rPr>
        <w:b/>
        <w:bCs/>
      </w:r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Col">
      <w:rPr>
        <w:b/>
        <w:bCs/>
      </w:r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Col">
      <w:rPr>
        <w:b/>
        <w:bCs/>
      </w:r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Col">
      <w:rPr>
        <w:b/>
        <w:bCs/>
      </w:r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Col">
      <w:rPr>
        <w:b/>
        <w:bCs/>
      </w:r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Col">
      <w:rPr>
        <w:b/>
        <w:bCs/>
      </w:r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firstCol">
      <w:rPr>
        <w:b/>
        <w:bCs/>
      </w:r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lastCol">
      <w:rPr>
        <w:b/>
        <w:bCs/>
      </w:r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firstCol">
      <w:rPr>
        <w:b/>
        <w:bCs/>
      </w:r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lastCol">
      <w:rPr>
        <w:b/>
        <w:bCs/>
      </w:r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firstCol">
      <w:rPr>
        <w:b/>
        <w:bCs/>
      </w:r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lastCol">
      <w:rPr>
        <w:b/>
        <w:bCs/>
      </w:r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firstCol">
      <w:rPr>
        <w:b/>
        <w:bCs/>
      </w:r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lastCol">
      <w:rPr>
        <w:b/>
        <w:bCs/>
      </w:r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firstCol">
      <w:rPr>
        <w:b/>
        <w:bCs/>
      </w:r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lastCol">
      <w:rPr>
        <w:b/>
        <w:bCs/>
      </w:r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firstCol">
      <w:rPr>
        <w:b/>
        <w:bCs/>
      </w:r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lastCol">
      <w:rPr>
        <w:b/>
        <w:bCs/>
      </w:r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firstCol">
      <w:rPr>
        <w:b/>
        <w:bCs/>
      </w:r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lastCol">
      <w:rPr>
        <w:b/>
        <w:bCs/>
      </w:r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</w:r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lastCol">
      <w:rPr>
        <w:b/>
        <w:bCs/>
      </w:r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1Vert">
      <w:tblPr/>
      <w:tcPr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</w:r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lastCol">
      <w:rPr>
        <w:b/>
        <w:bCs/>
      </w:r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1Vert">
      <w:tblPr/>
      <w:tcPr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</w:r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lastCol">
      <w:rPr>
        <w:b/>
        <w:bCs/>
      </w:r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1Vert">
      <w:tblPr/>
      <w:tcPr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</w:r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lastCol">
      <w:rPr>
        <w:b/>
        <w:bCs/>
      </w:r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1Vert">
      <w:tblPr/>
      <w:tcPr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</w:r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lastCol">
      <w:rPr>
        <w:b/>
        <w:bCs/>
      </w:r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1Vert">
      <w:tblPr/>
      <w:tcPr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</w:r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lastCol">
      <w:rPr>
        <w:b/>
        <w:bCs/>
      </w:r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1Vert">
      <w:tblPr/>
      <w:tcPr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</w:r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lastCol">
      <w:rPr>
        <w:b/>
        <w:bCs/>
      </w:r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1Vert">
      <w:tblPr/>
      <w:tcPr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Horz">
      <w:tblPr/>
      <w:tcPr>
        <w:shd w:val="clear" w:color="auto" w:fill="C0C0C0" w:themeFill="text1" w:themeFillTint="3F"/>
      </w:tcPr>
    </w:tblStylePr>
    <w:tblStylePr w:type="band1Vert">
      <w:tblPr/>
      <w:tcPr>
        <w:shd w:val="clear" w:color="auto" w:fill="C0C0C0" w:themeFill="text1" w:themeFillTint="3F"/>
      </w:tcPr>
    </w:tblStylePr>
  </w:style>
  <w:style w:type="table" w:styleId="MediumList1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Horz">
      <w:tblPr/>
      <w:tcPr>
        <w:shd w:val="clear" w:color="auto" w:fill="D3DFEE" w:themeFill="accent1" w:themeFillTint="3F"/>
      </w:tcPr>
    </w:tblStylePr>
    <w:tblStylePr w:type="band1Vert">
      <w:tblPr/>
      <w:tcPr>
        <w:shd w:val="clear" w:color="auto" w:fill="D3DFEE" w:themeFill="accent1" w:themeFillTint="3F"/>
      </w:tcPr>
    </w:tblStylePr>
  </w:style>
  <w:style w:type="table" w:styleId="MediumList1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Horz">
      <w:tblPr/>
      <w:tcPr>
        <w:shd w:val="clear" w:color="auto" w:fill="EFD3D2" w:themeFill="accent2" w:themeFillTint="3F"/>
      </w:tcPr>
    </w:tblStylePr>
    <w:tblStylePr w:type="band1Vert">
      <w:tblPr/>
      <w:tcPr>
        <w:shd w:val="clear" w:color="auto" w:fill="EFD3D2" w:themeFill="accent2" w:themeFillTint="3F"/>
      </w:tcPr>
    </w:tblStylePr>
  </w:style>
  <w:style w:type="table" w:styleId="MediumList1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Horz">
      <w:tblPr/>
      <w:tcPr>
        <w:shd w:val="clear" w:color="auto" w:fill="E6EED5" w:themeFill="accent3" w:themeFillTint="3F"/>
      </w:tcPr>
    </w:tblStylePr>
    <w:tblStylePr w:type="band1Vert">
      <w:tblPr/>
      <w:tcPr>
        <w:shd w:val="clear" w:color="auto" w:fill="E6EED5" w:themeFill="accent3" w:themeFillTint="3F"/>
      </w:tcPr>
    </w:tblStylePr>
  </w:style>
  <w:style w:type="table" w:styleId="MediumList1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Horz">
      <w:tblPr/>
      <w:tcPr>
        <w:shd w:val="clear" w:color="auto" w:fill="DFD8E8" w:themeFill="accent4" w:themeFillTint="3F"/>
      </w:tcPr>
    </w:tblStylePr>
    <w:tblStylePr w:type="band1Vert">
      <w:tblPr/>
      <w:tcPr>
        <w:shd w:val="clear" w:color="auto" w:fill="DFD8E8" w:themeFill="accent4" w:themeFillTint="3F"/>
      </w:tcPr>
    </w:tblStylePr>
  </w:style>
  <w:style w:type="table" w:styleId="MediumList1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Horz">
      <w:tblPr/>
      <w:tcPr>
        <w:shd w:val="clear" w:color="auto" w:fill="D2EAF1" w:themeFill="accent5" w:themeFillTint="3F"/>
      </w:tcPr>
    </w:tblStylePr>
    <w:tblStylePr w:type="band1Vert">
      <w:tblPr/>
      <w:tcPr>
        <w:shd w:val="clear" w:color="auto" w:fill="D2EAF1" w:themeFill="accent5" w:themeFillTint="3F"/>
      </w:tcPr>
    </w:tblStylePr>
  </w:style>
  <w:style w:type="table" w:styleId="MediumList1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Horz">
      <w:tblPr/>
      <w:tcPr>
        <w:shd w:val="clear" w:color="auto" w:fill="FDE4D0" w:themeFill="accent6" w:themeFillTint="3F"/>
      </w:tcPr>
    </w:tblStylePr>
    <w:tblStylePr w:type="band1Vert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firstCol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lastCol">
      <w:rPr>
        <w:b/>
        <w:bCs/>
      </w:rPr>
    </w:tblStylePr>
    <w:tblStylePr w:type="band1Horz">
      <w:tblPr/>
      <w:tcPr>
        <w:shd w:val="clear" w:color="auto" w:fill="808080" w:themeFill="text1" w:themeFillTint="7F"/>
      </w:tcPr>
    </w:tblStylePr>
    <w:tblStylePr w:type="band1Vert">
      <w:tblPr/>
      <w:tcPr>
        <w:shd w:val="clear" w:color="auto" w:fill="808080" w:themeFill="text1" w:themeFillTint="7F"/>
      </w:tcPr>
    </w:tblStylePr>
  </w:style>
  <w:style w:type="table" w:styleId="MediumGrid1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firstCol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lastCol">
      <w:rPr>
        <w:b/>
        <w:bCs/>
      </w:rPr>
    </w:tblStylePr>
    <w:tblStylePr w:type="band1Horz">
      <w:tblPr/>
      <w:tcPr>
        <w:shd w:val="clear" w:color="auto" w:fill="A7BFDE" w:themeFill="accent1" w:themeFillTint="7F"/>
      </w:tcPr>
    </w:tblStylePr>
    <w:tblStylePr w:type="band1Vert">
      <w:tblPr/>
      <w:tcPr>
        <w:shd w:val="clear" w:color="auto" w:fill="A7BFDE" w:themeFill="accent1" w:themeFillTint="7F"/>
      </w:tcPr>
    </w:tblStylePr>
  </w:style>
  <w:style w:type="table" w:styleId="MediumGrid1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firstCol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lastCol">
      <w:rPr>
        <w:b/>
        <w:bCs/>
      </w:rPr>
    </w:tblStylePr>
    <w:tblStylePr w:type="band1Horz">
      <w:tblPr/>
      <w:tcPr>
        <w:shd w:val="clear" w:color="auto" w:fill="DFA7A6" w:themeFill="accent2" w:themeFillTint="7F"/>
      </w:tcPr>
    </w:tblStylePr>
    <w:tblStylePr w:type="band1Vert">
      <w:tblPr/>
      <w:tcPr>
        <w:shd w:val="clear" w:color="auto" w:fill="DFA7A6" w:themeFill="accent2" w:themeFillTint="7F"/>
      </w:tcPr>
    </w:tblStylePr>
  </w:style>
  <w:style w:type="table" w:styleId="MediumGrid1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firstCol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lastCol">
      <w:rPr>
        <w:b/>
        <w:bCs/>
      </w:rPr>
    </w:tblStylePr>
    <w:tblStylePr w:type="band1Horz">
      <w:tblPr/>
      <w:tcPr>
        <w:shd w:val="clear" w:color="auto" w:fill="CDDDAC" w:themeFill="accent3" w:themeFillTint="7F"/>
      </w:tcPr>
    </w:tblStylePr>
    <w:tblStylePr w:type="band1Vert">
      <w:tblPr/>
      <w:tcPr>
        <w:shd w:val="clear" w:color="auto" w:fill="CDDDAC" w:themeFill="accent3" w:themeFillTint="7F"/>
      </w:tcPr>
    </w:tblStylePr>
  </w:style>
  <w:style w:type="table" w:styleId="MediumGrid1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firstCol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lastCol">
      <w:rPr>
        <w:b/>
        <w:bCs/>
      </w:rPr>
    </w:tblStylePr>
    <w:tblStylePr w:type="band1Horz">
      <w:tblPr/>
      <w:tcPr>
        <w:shd w:val="clear" w:color="auto" w:fill="BFB1D0" w:themeFill="accent4" w:themeFillTint="7F"/>
      </w:tcPr>
    </w:tblStylePr>
    <w:tblStylePr w:type="band1Vert">
      <w:tblPr/>
      <w:tcPr>
        <w:shd w:val="clear" w:color="auto" w:fill="BFB1D0" w:themeFill="accent4" w:themeFillTint="7F"/>
      </w:tcPr>
    </w:tblStylePr>
  </w:style>
  <w:style w:type="table" w:styleId="MediumGrid1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firstCol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lastCol">
      <w:rPr>
        <w:b/>
        <w:bCs/>
      </w:rPr>
    </w:tblStylePr>
    <w:tblStylePr w:type="band1Horz">
      <w:tblPr/>
      <w:tcPr>
        <w:shd w:val="clear" w:color="auto" w:fill="A5D5E2" w:themeFill="accent5" w:themeFillTint="7F"/>
      </w:tcPr>
    </w:tblStylePr>
    <w:tblStylePr w:type="band1Vert">
      <w:tblPr/>
      <w:tcPr>
        <w:shd w:val="clear" w:color="auto" w:fill="A5D5E2" w:themeFill="accent5" w:themeFillTint="7F"/>
      </w:tcPr>
    </w:tblStylePr>
  </w:style>
  <w:style w:type="table" w:styleId="MediumGrid1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firstCol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lastCol">
      <w:rPr>
        <w:b/>
        <w:bCs/>
      </w:rPr>
    </w:tblStylePr>
    <w:tblStylePr w:type="band1Horz">
      <w:tblPr/>
      <w:tcPr>
        <w:shd w:val="clear" w:color="auto" w:fill="FBCAA2" w:themeFill="accent6" w:themeFillTint="7F"/>
      </w:tcPr>
    </w:tblStylePr>
    <w:tblStylePr w:type="band1Vert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band1Vert">
      <w:tblPr/>
      <w:tcPr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band1Vert">
      <w:tblPr/>
      <w:tcPr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band1Vert">
      <w:tblPr/>
      <w:tcPr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band1Vert">
      <w:tblPr/>
      <w:tcPr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band1Vert">
      <w:tblPr/>
      <w:tcPr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band1Vert">
      <w:tblPr/>
      <w:tcPr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band1Vert">
      <w:tblPr/>
      <w:tcPr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</w:style>
  <w:style w:type="table" w:styleId="MediumGrid3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</w:style>
  <w:style w:type="table" w:styleId="MediumGrid3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</w:style>
  <w:style w:type="table" w:styleId="MediumGrid3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</w:style>
  <w:style w:type="table" w:styleId="MediumGrid3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</w:style>
  <w:style w:type="table" w:styleId="MediumGrid3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</w:style>
  <w:style w:type="table" w:styleId="MediumGrid3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shd w:val="clear" w:color="auto" w:fill="808080" w:themeFill="text1" w:themeFillTint="7F"/>
      </w:tcPr>
    </w:tblStylePr>
    <w:tblStylePr w:type="band1Vert">
      <w:tblPr/>
      <w:tcPr>
        <w:shd w:val="clear" w:color="auto" w:fill="999999" w:themeFill="text1" w:themeFillTint="66"/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Colo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Horz">
      <w:tblPr/>
      <w:tcPr>
        <w:shd w:val="clear" w:color="auto" w:fill="A7BFDE" w:themeFill="accent1" w:themeFillTint="7F"/>
      </w:tcPr>
    </w:tblStylePr>
    <w:tblStylePr w:type="band1Vert">
      <w:tblPr/>
      <w:tcPr>
        <w:shd w:val="clear" w:color="auto" w:fill="B8CCE4" w:themeFill="accent1" w:themeFillTint="66"/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Colo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Horz">
      <w:tblPr/>
      <w:tcPr>
        <w:shd w:val="clear" w:color="auto" w:fill="DFA7A6" w:themeFill="accent2" w:themeFillTint="7F"/>
      </w:tcPr>
    </w:tblStylePr>
    <w:tblStylePr w:type="band1Vert">
      <w:tblPr/>
      <w:tcPr>
        <w:shd w:val="clear" w:color="auto" w:fill="E5B8B7" w:themeFill="accent2" w:themeFillTint="66"/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Colo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Horz">
      <w:tblPr/>
      <w:tcPr>
        <w:shd w:val="clear" w:color="auto" w:fill="CDDDAC" w:themeFill="accent3" w:themeFillTint="7F"/>
      </w:tcPr>
    </w:tblStylePr>
    <w:tblStylePr w:type="band1Vert">
      <w:tblPr/>
      <w:tcPr>
        <w:shd w:val="clear" w:color="auto" w:fill="D6E3BC" w:themeFill="accent3" w:themeFillTint="66"/>
      </w:tcPr>
    </w:tblStylePr>
  </w:style>
  <w:style w:type="table" w:styleId="Colo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Horz">
      <w:tblPr/>
      <w:tcPr>
        <w:shd w:val="clear" w:color="auto" w:fill="BFB1D0" w:themeFill="accent4" w:themeFillTint="7F"/>
      </w:tcPr>
    </w:tblStylePr>
    <w:tblStylePr w:type="band1Vert">
      <w:tblPr/>
      <w:tcPr>
        <w:shd w:val="clear" w:color="auto" w:fill="CCC0D9" w:themeFill="accent4" w:themeFillTint="66"/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Colo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Horz">
      <w:tblPr/>
      <w:tcPr>
        <w:shd w:val="clear" w:color="auto" w:fill="A5D5E2" w:themeFill="accent5" w:themeFillTint="7F"/>
      </w:tcPr>
    </w:tblStylePr>
    <w:tblStylePr w:type="band1Vert">
      <w:tblPr/>
      <w:tcPr>
        <w:shd w:val="clear" w:color="auto" w:fill="B6DDE8" w:themeFill="accent5" w:themeFillTint="66"/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Colo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Horz">
      <w:tblPr/>
      <w:tcPr>
        <w:shd w:val="clear" w:color="auto" w:fill="FBCAA2" w:themeFill="accent6" w:themeFillTint="7F"/>
      </w:tcPr>
    </w:tblStylePr>
    <w:tblStylePr w:type="band1Vert">
      <w:tblPr/>
      <w:tcPr>
        <w:shd w:val="clear" w:color="auto" w:fill="FBD4B4" w:themeFill="accent6" w:themeFillTint="66"/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firstCol">
      <w:rPr>
        <w:b/>
        <w:bCs/>
      </w:r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lastCol">
      <w:rPr>
        <w:b/>
        <w:bCs/>
      </w:rPr>
    </w:tblStylePr>
    <w:tblStylePr w:type="band1Horz">
      <w:tblPr/>
      <w:tcPr>
        <w:shd w:val="clear" w:color="auto" w:fill="CCCCCC" w:themeFill="text1" w:themeFillTint="33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Colo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firstCol">
      <w:rPr>
        <w:b/>
        <w:bCs/>
      </w:r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lastCol">
      <w:rPr>
        <w:b/>
        <w:bCs/>
      </w:rPr>
    </w:tblStylePr>
    <w:tblStylePr w:type="band1Horz">
      <w:tblPr/>
      <w:tcPr>
        <w:shd w:val="clear" w:color="auto" w:fill="DBE5F1" w:themeFill="accent1" w:themeFillTint="33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olo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firstCol">
      <w:rPr>
        <w:b/>
        <w:bCs/>
      </w:r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lastCol">
      <w:rPr>
        <w:b/>
        <w:bCs/>
      </w:rPr>
    </w:tblStylePr>
    <w:tblStylePr w:type="band1Horz">
      <w:tblPr/>
      <w:tcPr>
        <w:shd w:val="clear" w:color="auto" w:fill="F2DBDB" w:themeFill="accent2" w:themeFillTint="33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Colo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firstCol">
      <w:rPr>
        <w:b/>
        <w:bCs/>
      </w:r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lastCol">
      <w:rPr>
        <w:b/>
        <w:bCs/>
      </w:rPr>
    </w:tblStylePr>
    <w:tblStylePr w:type="band1Horz">
      <w:tblPr/>
      <w:tcPr>
        <w:shd w:val="clear" w:color="auto" w:fill="EAF1DD" w:themeFill="accent3" w:themeFillTint="33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Colo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firstCol">
      <w:rPr>
        <w:b/>
        <w:bCs/>
      </w:r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lastCol">
      <w:rPr>
        <w:b/>
        <w:bCs/>
      </w:rPr>
    </w:tblStylePr>
    <w:tblStylePr w:type="band1Horz">
      <w:tblPr/>
      <w:tcPr>
        <w:shd w:val="clear" w:color="auto" w:fill="E5DFEC" w:themeFill="accent4" w:themeFillTint="33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Colo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firstCol">
      <w:rPr>
        <w:b/>
        <w:bCs/>
      </w:r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lastCol">
      <w:rPr>
        <w:b/>
        <w:bCs/>
      </w:rPr>
    </w:tblStylePr>
    <w:tblStylePr w:type="band1Horz">
      <w:tblPr/>
      <w:tcPr>
        <w:shd w:val="clear" w:color="auto" w:fill="DAEEF3" w:themeFill="accent5" w:themeFillTint="33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Colo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firstCol">
      <w:rPr>
        <w:b/>
        <w:bCs/>
      </w:r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lastCol">
      <w:rPr>
        <w:b/>
        <w:bCs/>
      </w:rPr>
    </w:tblStylePr>
    <w:tblStylePr w:type="band1Horz">
      <w:tblPr/>
      <w:tcPr>
        <w:shd w:val="clear" w:color="auto" w:fill="FDE9D9" w:themeFill="accent6" w:themeFillTint="33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Horz">
      <w:tblPr/>
      <w:tcPr>
        <w:shd w:val="clear" w:color="auto" w:fill="808080" w:themeFill="text1" w:themeFillTint="7F"/>
      </w:tcPr>
    </w:tblStylePr>
    <w:tblStylePr w:type="band1Vert">
      <w:tblPr/>
      <w:tcPr>
        <w:shd w:val="clear" w:color="auto" w:fill="808080" w:themeFill="text1" w:themeFillTint="7F"/>
      </w:tcPr>
    </w:tblStylePr>
  </w:style>
  <w:style w:type="table" w:styleId="Colo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Horz">
      <w:tblPr/>
      <w:tcPr>
        <w:shd w:val="clear" w:color="auto" w:fill="A7BFDE" w:themeFill="accent1" w:themeFillTint="7F"/>
      </w:tcPr>
    </w:tblStylePr>
    <w:tblStylePr w:type="band1Vert">
      <w:tblPr/>
      <w:tcPr>
        <w:shd w:val="clear" w:color="auto" w:fill="A7BFDE" w:themeFill="accent1" w:themeFillTint="7F"/>
      </w:tcPr>
    </w:tblStylePr>
  </w:style>
  <w:style w:type="table" w:styleId="Colo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Horz">
      <w:tblPr/>
      <w:tcPr>
        <w:shd w:val="clear" w:color="auto" w:fill="DFA7A6" w:themeFill="accent2" w:themeFillTint="7F"/>
      </w:tcPr>
    </w:tblStylePr>
    <w:tblStylePr w:type="band1Vert">
      <w:tblPr/>
      <w:tcPr>
        <w:shd w:val="clear" w:color="auto" w:fill="DFA7A6" w:themeFill="accent2" w:themeFillTint="7F"/>
      </w:tcPr>
    </w:tblStylePr>
  </w:style>
  <w:style w:type="table" w:styleId="Colo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Horz">
      <w:tblPr/>
      <w:tcPr>
        <w:shd w:val="clear" w:color="auto" w:fill="CDDDAC" w:themeFill="accent3" w:themeFillTint="7F"/>
      </w:tcPr>
    </w:tblStylePr>
    <w:tblStylePr w:type="band1Vert">
      <w:tblPr/>
      <w:tcPr>
        <w:shd w:val="clear" w:color="auto" w:fill="CDDDAC" w:themeFill="accent3" w:themeFillTint="7F"/>
      </w:tcPr>
    </w:tblStylePr>
  </w:style>
  <w:style w:type="table" w:styleId="Colo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Horz">
      <w:tblPr/>
      <w:tcPr>
        <w:shd w:val="clear" w:color="auto" w:fill="BFB1D0" w:themeFill="accent4" w:themeFillTint="7F"/>
      </w:tcPr>
    </w:tblStylePr>
    <w:tblStylePr w:type="band1Vert">
      <w:tblPr/>
      <w:tcPr>
        <w:shd w:val="clear" w:color="auto" w:fill="BFB1D0" w:themeFill="accent4" w:themeFillTint="7F"/>
      </w:tcPr>
    </w:tblStylePr>
  </w:style>
  <w:style w:type="table" w:styleId="Colo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Horz">
      <w:tblPr/>
      <w:tcPr>
        <w:shd w:val="clear" w:color="auto" w:fill="A5D5E2" w:themeFill="accent5" w:themeFillTint="7F"/>
      </w:tcPr>
    </w:tblStylePr>
    <w:tblStylePr w:type="band1Vert">
      <w:tblPr/>
      <w:tcPr>
        <w:shd w:val="clear" w:color="auto" w:fill="A5D5E2" w:themeFill="accent5" w:themeFillTint="7F"/>
      </w:tcPr>
    </w:tblStylePr>
  </w:style>
  <w:style w:type="table" w:styleId="Colo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Horz">
      <w:tblPr/>
      <w:tcPr>
        <w:shd w:val="clear" w:color="auto" w:fill="FBCAA2" w:themeFill="accent6" w:themeFillTint="7F"/>
      </w:tcPr>
    </w:tblStylePr>
    <w:tblStylePr w:type="band1Vert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Char7"/>
    <w:uiPriority w:val="99"/>
    <w:semiHidden/>
    <w:unhideWhenUsed/>
    <w:rsid w:val="009B2976"/>
    <w:pPr>
      <w:spacing w:after="0" w:line="240" w:lineRule="auto"/>
    </w:pPr>
    <w:rPr>
      <w:sz w:val="18"/>
      <w:szCs w:val="18"/>
    </w:rPr>
  </w:style>
  <w:style w:type="character" w:customStyle="1" w:styleId="Char7">
    <w:name w:val="批注框文本 Char"/>
    <w:basedOn w:val="DefaultParagraphFont"/>
    <w:link w:val="BalloonText"/>
    <w:uiPriority w:val="99"/>
    <w:semiHidden/>
    <w:rsid w:val="009B2976"/>
    <w:rPr>
      <w:rFonts w:ascii="微软雅黑" w:eastAsia="微软雅黑" w:hAnsi="微软雅黑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2225</Words>
  <Characters>2605</Characters>
  <Application>Microsoft Office Word</Application>
  <DocSecurity>0</DocSecurity>
  <Lines>130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xbany</cp:lastModifiedBy>
  <cp:revision>3</cp:revision>
  <dcterms:created xsi:type="dcterms:W3CDTF">2013-12-23T23:15:00Z</dcterms:created>
  <dcterms:modified xsi:type="dcterms:W3CDTF">2021-03-01T10:00:00Z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