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513"/>
        <w:spacing w:before="52" w:line="219" w:lineRule="auto"/>
        <w:outlineLvl w:val="0"/>
        <w:rPr>
          <w:sz w:val="26"/>
          <w:szCs w:val="26"/>
        </w:rPr>
      </w:pPr>
      <w:r>
        <w:rPr>
          <w:sz w:val="26"/>
          <w:szCs w:val="26"/>
          <w:b/>
          <w:bCs/>
          <w:spacing w:val="31"/>
        </w:rPr>
        <w:t>2024学年第一学期江浙皖高中(县中)发展</w:t>
      </w:r>
      <w:r>
        <w:rPr>
          <w:sz w:val="26"/>
          <w:szCs w:val="26"/>
          <w:b/>
          <w:bCs/>
          <w:spacing w:val="30"/>
        </w:rPr>
        <w:t>共同体高三年级10月联考</w:t>
      </w:r>
    </w:p>
    <w:p>
      <w:pPr>
        <w:pStyle w:val="BodyText"/>
        <w:ind w:left="4013"/>
        <w:spacing w:before="311" w:line="219" w:lineRule="auto"/>
        <w:rPr>
          <w:sz w:val="26"/>
          <w:szCs w:val="26"/>
        </w:rPr>
      </w:pPr>
      <w:r>
        <w:rPr>
          <w:sz w:val="26"/>
          <w:szCs w:val="26"/>
          <w:b/>
          <w:bCs/>
          <w:spacing w:val="16"/>
        </w:rPr>
        <w:t>历史参考答案</w:t>
      </w:r>
    </w:p>
    <w:p>
      <w:pPr>
        <w:pStyle w:val="BodyText"/>
        <w:ind w:left="469" w:right="124" w:hanging="466"/>
        <w:spacing w:before="160" w:line="287" w:lineRule="auto"/>
        <w:rPr/>
      </w:pPr>
      <w:r>
        <w:rPr>
          <w:b/>
          <w:bCs/>
          <w:spacing w:val="8"/>
        </w:rPr>
        <w:t>一、选择题</w:t>
      </w:r>
      <w:r>
        <w:rPr>
          <w:rFonts w:ascii="Times New Roman" w:hAnsi="Times New Roman" w:eastAsia="Times New Roman" w:cs="Times New Roman"/>
          <w:b/>
          <w:bCs/>
          <w:spacing w:val="8"/>
        </w:rPr>
        <w:t>I</w:t>
      </w:r>
      <w:r>
        <w:rPr>
          <w:rFonts w:ascii="Times New Roman" w:hAnsi="Times New Roman" w:eastAsia="Times New Roman" w:cs="Times New Roman"/>
          <w:b/>
          <w:bCs/>
          <w:spacing w:val="50"/>
          <w:w w:val="101"/>
        </w:rPr>
        <w:t xml:space="preserve"> </w:t>
      </w:r>
      <w:r>
        <w:rPr>
          <w:spacing w:val="8"/>
        </w:rPr>
        <w:t>(本大题共15小题，每小题2分，</w:t>
      </w:r>
      <w:r>
        <w:rPr>
          <w:spacing w:val="7"/>
        </w:rPr>
        <w:t>共30分。每小题列出的四个备选项中只有一个是符合题</w:t>
      </w:r>
      <w:r>
        <w:rPr/>
        <w:t xml:space="preserve"> </w:t>
      </w:r>
      <w:r>
        <w:rPr/>
        <w:t>目要求的，不选、多选、错选均不得分)</w:t>
      </w:r>
    </w:p>
    <w:p>
      <w:pPr>
        <w:spacing w:line="55" w:lineRule="exact"/>
        <w:rPr/>
      </w:pPr>
      <w:r/>
    </w:p>
    <w:tbl>
      <w:tblPr>
        <w:tblStyle w:val="TableNormal"/>
        <w:tblW w:w="8240" w:type="dxa"/>
        <w:tblInd w:w="219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04"/>
        <w:gridCol w:w="500"/>
        <w:gridCol w:w="500"/>
        <w:gridCol w:w="499"/>
        <w:gridCol w:w="509"/>
        <w:gridCol w:w="499"/>
        <w:gridCol w:w="500"/>
        <w:gridCol w:w="500"/>
        <w:gridCol w:w="509"/>
        <w:gridCol w:w="500"/>
        <w:gridCol w:w="499"/>
        <w:gridCol w:w="509"/>
        <w:gridCol w:w="499"/>
        <w:gridCol w:w="499"/>
        <w:gridCol w:w="509"/>
        <w:gridCol w:w="505"/>
      </w:tblGrid>
      <w:tr>
        <w:trPr>
          <w:trHeight w:val="529" w:hRule="atLeast"/>
        </w:trPr>
        <w:tc>
          <w:tcPr>
            <w:tcW w:w="704" w:type="dxa"/>
            <w:vAlign w:val="top"/>
          </w:tcPr>
          <w:p>
            <w:pPr>
              <w:pStyle w:val="TableText"/>
              <w:ind w:left="135"/>
              <w:spacing w:before="164" w:line="221" w:lineRule="auto"/>
              <w:rPr/>
            </w:pPr>
            <w:r>
              <w:rPr>
                <w:spacing w:val="6"/>
              </w:rPr>
              <w:t>题号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1"/>
              <w:spacing w:before="216" w:line="184" w:lineRule="auto"/>
              <w:rPr/>
            </w:pPr>
            <w:r>
              <w:rPr/>
              <w:t>1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1"/>
              <w:spacing w:before="217" w:line="183" w:lineRule="auto"/>
              <w:rPr/>
            </w:pPr>
            <w:r>
              <w:rPr/>
              <w:t>2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0"/>
              <w:spacing w:before="217" w:line="183" w:lineRule="auto"/>
              <w:rPr/>
            </w:pPr>
            <w:r>
              <w:rPr/>
              <w:t>3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1"/>
              <w:spacing w:before="217" w:line="183" w:lineRule="auto"/>
              <w:rPr/>
            </w:pPr>
            <w:r>
              <w:rPr/>
              <w:t>4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2"/>
              <w:spacing w:before="219" w:line="182" w:lineRule="auto"/>
              <w:rPr/>
            </w:pPr>
            <w:r>
              <w:rPr/>
              <w:t>5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4"/>
              <w:spacing w:before="217" w:line="183" w:lineRule="auto"/>
              <w:rPr/>
            </w:pPr>
            <w:r>
              <w:rPr/>
              <w:t>6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4"/>
              <w:spacing w:before="219" w:line="182" w:lineRule="auto"/>
              <w:rPr/>
            </w:pPr>
            <w:r>
              <w:rPr/>
              <w:t>7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4"/>
              <w:spacing w:before="217" w:line="183" w:lineRule="auto"/>
              <w:rPr/>
            </w:pPr>
            <w:r>
              <w:rPr/>
              <w:t>8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5"/>
              <w:spacing w:before="217" w:line="183" w:lineRule="auto"/>
              <w:rPr/>
            </w:pPr>
            <w:r>
              <w:rPr/>
              <w:t>9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34"/>
              <w:spacing w:before="216" w:line="184" w:lineRule="auto"/>
              <w:rPr/>
            </w:pPr>
            <w:r>
              <w:rPr>
                <w:spacing w:val="-6"/>
              </w:rPr>
              <w:t>10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45"/>
              <w:spacing w:before="216" w:line="184" w:lineRule="auto"/>
              <w:rPr/>
            </w:pPr>
            <w:r>
              <w:rPr>
                <w:spacing w:val="-6"/>
              </w:rPr>
              <w:t>11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37"/>
              <w:spacing w:before="216" w:line="184" w:lineRule="auto"/>
              <w:rPr/>
            </w:pPr>
            <w:r>
              <w:rPr>
                <w:spacing w:val="-6"/>
              </w:rPr>
              <w:t>12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38"/>
              <w:spacing w:before="216" w:line="184" w:lineRule="auto"/>
              <w:rPr/>
            </w:pPr>
            <w:r>
              <w:rPr>
                <w:spacing w:val="-6"/>
              </w:rPr>
              <w:t>13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49"/>
              <w:spacing w:before="216" w:line="184" w:lineRule="auto"/>
              <w:rPr/>
            </w:pPr>
            <w:r>
              <w:rPr>
                <w:spacing w:val="-6"/>
              </w:rPr>
              <w:t>14</w:t>
            </w:r>
          </w:p>
        </w:tc>
        <w:tc>
          <w:tcPr>
            <w:tcW w:w="505" w:type="dxa"/>
            <w:vAlign w:val="top"/>
          </w:tcPr>
          <w:p>
            <w:pPr>
              <w:pStyle w:val="TableText"/>
              <w:ind w:left="140"/>
              <w:spacing w:before="216" w:line="184" w:lineRule="auto"/>
              <w:rPr/>
            </w:pPr>
            <w:r>
              <w:rPr>
                <w:spacing w:val="-6"/>
              </w:rPr>
              <w:t>15</w:t>
            </w:r>
          </w:p>
        </w:tc>
      </w:tr>
      <w:tr>
        <w:trPr>
          <w:trHeight w:val="470" w:hRule="atLeast"/>
        </w:trPr>
        <w:tc>
          <w:tcPr>
            <w:tcW w:w="704" w:type="dxa"/>
            <w:vAlign w:val="top"/>
          </w:tcPr>
          <w:p>
            <w:pPr>
              <w:pStyle w:val="TableText"/>
              <w:ind w:left="135"/>
              <w:spacing w:before="135" w:line="220" w:lineRule="auto"/>
              <w:rPr/>
            </w:pPr>
            <w:r>
              <w:rPr>
                <w:spacing w:val="-3"/>
              </w:rPr>
              <w:t>答案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1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1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0"/>
              <w:spacing w:before="189" w:line="182" w:lineRule="auto"/>
              <w:rPr/>
            </w:pPr>
            <w:r>
              <w:rPr/>
              <w:t>D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1"/>
              <w:spacing w:before="189" w:line="182" w:lineRule="auto"/>
              <w:rPr/>
            </w:pPr>
            <w:r>
              <w:rPr/>
              <w:t>B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2"/>
              <w:spacing w:before="189" w:line="182" w:lineRule="auto"/>
              <w:rPr/>
            </w:pPr>
            <w:r>
              <w:rPr/>
              <w:t>B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4"/>
              <w:spacing w:before="189" w:line="182" w:lineRule="auto"/>
              <w:rPr/>
            </w:pPr>
            <w:r>
              <w:rPr/>
              <w:t>D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4"/>
              <w:spacing w:before="188" w:line="183" w:lineRule="auto"/>
              <w:rPr/>
            </w:pPr>
            <w:r>
              <w:rPr/>
              <w:t>C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4"/>
              <w:spacing w:before="189" w:line="182" w:lineRule="auto"/>
              <w:rPr/>
            </w:pPr>
            <w:r>
              <w:rPr/>
              <w:t>D</w:t>
            </w:r>
          </w:p>
        </w:tc>
        <w:tc>
          <w:tcPr>
            <w:tcW w:w="500" w:type="dxa"/>
            <w:vAlign w:val="top"/>
          </w:tcPr>
          <w:p>
            <w:pPr>
              <w:pStyle w:val="TableText"/>
              <w:ind w:left="185"/>
              <w:spacing w:before="189" w:line="182" w:lineRule="auto"/>
              <w:rPr/>
            </w:pPr>
            <w:r>
              <w:rPr/>
              <w:t>D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4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5"/>
              <w:spacing w:before="188" w:line="183" w:lineRule="auto"/>
              <w:rPr/>
            </w:pPr>
            <w:r>
              <w:rPr/>
              <w:t>C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6"/>
              <w:spacing w:before="189" w:line="182" w:lineRule="auto"/>
              <w:rPr/>
            </w:pPr>
            <w:r>
              <w:rPr/>
              <w:t>B</w:t>
            </w:r>
          </w:p>
        </w:tc>
        <w:tc>
          <w:tcPr>
            <w:tcW w:w="499" w:type="dxa"/>
            <w:vAlign w:val="top"/>
          </w:tcPr>
          <w:p>
            <w:pPr>
              <w:pStyle w:val="TableText"/>
              <w:ind w:left="188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509" w:type="dxa"/>
            <w:vAlign w:val="top"/>
          </w:tcPr>
          <w:p>
            <w:pPr>
              <w:pStyle w:val="TableText"/>
              <w:ind w:left="199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505" w:type="dxa"/>
            <w:vAlign w:val="top"/>
          </w:tcPr>
          <w:p>
            <w:pPr>
              <w:pStyle w:val="TableText"/>
              <w:ind w:left="190"/>
              <w:spacing w:before="189" w:line="182" w:lineRule="auto"/>
              <w:rPr/>
            </w:pPr>
            <w:r>
              <w:rPr/>
              <w:t>B</w:t>
            </w:r>
          </w:p>
        </w:tc>
      </w:tr>
    </w:tbl>
    <w:p>
      <w:pPr>
        <w:pStyle w:val="BodyText"/>
        <w:ind w:left="1269" w:right="29" w:hanging="1269"/>
        <w:spacing w:before="124" w:line="272" w:lineRule="auto"/>
        <w:rPr/>
      </w:pPr>
      <w:r>
        <w:rPr>
          <w:rFonts w:ascii="Times New Roman" w:hAnsi="Times New Roman" w:eastAsia="Times New Roman" w:cs="Times New Roman"/>
          <w:spacing w:val="-12"/>
        </w:rPr>
        <w:t>1.A</w:t>
      </w:r>
      <w:r>
        <w:rPr>
          <w:spacing w:val="-12"/>
        </w:rPr>
        <w:t>【</w:t>
      </w:r>
      <w:r>
        <w:rPr>
          <w:spacing w:val="92"/>
        </w:rPr>
        <w:t xml:space="preserve"> </w:t>
      </w:r>
      <w:r>
        <w:rPr>
          <w:spacing w:val="-12"/>
        </w:rPr>
        <w:t>解析】据材料“金属制品”、“小麦遗存”、“驯化的羊、牛骨骼”可知西亚的青铜冶炼技术、小麦等</w:t>
      </w:r>
      <w:r>
        <w:rPr/>
        <w:t xml:space="preserve">  </w:t>
      </w:r>
      <w:r>
        <w:rPr/>
        <w:t>物种传入中国，故选</w:t>
      </w:r>
      <w:r>
        <w:rPr>
          <w:rFonts w:ascii="Times New Roman" w:hAnsi="Times New Roman" w:eastAsia="Times New Roman" w:cs="Times New Roman"/>
        </w:rPr>
        <w:t>A</w:t>
      </w:r>
      <w:r>
        <w:rPr/>
        <w:t>项；“青铜时代”是夏商周时期，排除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/>
        <w:t>项；材料反映了社会生产状  </w:t>
      </w:r>
      <w:r>
        <w:rPr>
          <w:spacing w:val="-5"/>
        </w:rPr>
        <w:t>况无法体现早期国家形态，排除</w:t>
      </w:r>
      <w:r>
        <w:rPr>
          <w:rFonts w:ascii="Times New Roman" w:hAnsi="Times New Roman" w:eastAsia="Times New Roman" w:cs="Times New Roman"/>
          <w:spacing w:val="-5"/>
        </w:rPr>
        <w:t>C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spacing w:val="-5"/>
        </w:rPr>
        <w:t>项；“外来物种引入促进</w:t>
      </w:r>
      <w:r>
        <w:rPr>
          <w:spacing w:val="-6"/>
        </w:rPr>
        <w:t>农业发展”不够全面，排除</w:t>
      </w:r>
      <w:r>
        <w:rPr>
          <w:rFonts w:ascii="Times New Roman" w:hAnsi="Times New Roman" w:eastAsia="Times New Roman" w:cs="Times New Roman"/>
          <w:spacing w:val="-6"/>
        </w:rPr>
        <w:t>D </w:t>
      </w:r>
      <w:r>
        <w:rPr>
          <w:spacing w:val="-6"/>
        </w:rPr>
        <w:t>项</w:t>
      </w:r>
      <w:r>
        <w:rPr>
          <w:spacing w:val="-48"/>
        </w:rPr>
        <w:t xml:space="preserve"> </w:t>
      </w:r>
      <w:r>
        <w:rPr>
          <w:spacing w:val="-6"/>
        </w:rPr>
        <w:t>。</w:t>
      </w:r>
    </w:p>
    <w:p>
      <w:pPr>
        <w:pStyle w:val="BodyText"/>
        <w:ind w:left="1269" w:right="29" w:hanging="1269"/>
        <w:spacing w:before="21" w:line="266" w:lineRule="auto"/>
        <w:rPr/>
      </w:pPr>
      <w:r>
        <w:rPr>
          <w:rFonts w:ascii="Times New Roman" w:hAnsi="Times New Roman" w:eastAsia="Times New Roman" w:cs="Times New Roman"/>
        </w:rPr>
        <w:t>2.A</w:t>
      </w:r>
      <w:r>
        <w:rPr/>
        <w:t>【</w:t>
      </w:r>
      <w:r>
        <w:rPr>
          <w:spacing w:val="103"/>
        </w:rPr>
        <w:t xml:space="preserve"> </w:t>
      </w:r>
      <w:r>
        <w:rPr/>
        <w:t>解析】据材料可知，汉承秦制沿用了博士一职反映了秦汉文化的传承具有连续性，故选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/>
        <w:t>项；汉  </w:t>
      </w:r>
      <w:r>
        <w:rPr>
          <w:spacing w:val="-1"/>
        </w:rPr>
        <w:t>代博士的职能已经变为专门传授儒家经学的学官，排除</w:t>
      </w:r>
      <w:r>
        <w:rPr>
          <w:rFonts w:ascii="Times New Roman" w:hAnsi="Times New Roman" w:eastAsia="Times New Roman" w:cs="Times New Roman"/>
          <w:spacing w:val="-1"/>
        </w:rPr>
        <w:t>B </w:t>
      </w:r>
      <w:r>
        <w:rPr>
          <w:spacing w:val="-1"/>
        </w:rPr>
        <w:t>项；推动儒学垄断教育的是汉代尊</w:t>
      </w:r>
      <w:r>
        <w:rPr>
          <w:spacing w:val="15"/>
        </w:rPr>
        <w:t xml:space="preserve"> </w:t>
      </w:r>
      <w:r>
        <w:rPr/>
        <w:t>崇儒术和从中央到地方的官学体系的建立，排除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/>
        <w:t>项；确立儒学正统的是汉武帝尊崇儒术， </w:t>
      </w:r>
      <w:r>
        <w:rPr>
          <w:spacing w:val="-1"/>
        </w:rPr>
        <w:t>排除</w:t>
      </w:r>
      <w:r>
        <w:rPr>
          <w:rFonts w:ascii="Times New Roman" w:hAnsi="Times New Roman" w:eastAsia="Times New Roman" w:cs="Times New Roman"/>
          <w:spacing w:val="-1"/>
        </w:rPr>
        <w:t>D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-1"/>
        </w:rPr>
        <w:t>项。</w:t>
      </w:r>
    </w:p>
    <w:p>
      <w:pPr>
        <w:pStyle w:val="BodyText"/>
        <w:ind w:left="1269" w:right="52" w:hanging="1269"/>
        <w:spacing w:before="31" w:line="267" w:lineRule="auto"/>
        <w:rPr/>
      </w:pPr>
      <w:r>
        <w:rPr>
          <w:rFonts w:ascii="Times New Roman" w:hAnsi="Times New Roman" w:eastAsia="Times New Roman" w:cs="Times New Roman"/>
          <w:spacing w:val="-1"/>
        </w:rPr>
        <w:t>3.D</w:t>
      </w:r>
      <w:r>
        <w:rPr>
          <w:spacing w:val="-1"/>
        </w:rPr>
        <w:t>【</w:t>
      </w:r>
      <w:r>
        <w:rPr>
          <w:spacing w:val="44"/>
        </w:rPr>
        <w:t xml:space="preserve"> </w:t>
      </w:r>
      <w:r>
        <w:rPr>
          <w:spacing w:val="-1"/>
        </w:rPr>
        <w:t>解析】据材料并所学可知，南北城市的发展是受到多种因素作用的结果，北方由于一定时期的战乱</w:t>
      </w:r>
      <w:r>
        <w:rPr/>
        <w:t xml:space="preserve"> </w:t>
      </w:r>
      <w:r>
        <w:rPr>
          <w:spacing w:val="-1"/>
        </w:rPr>
        <w:t>导致北方城市的破坏和北民大量南迁，同时由于南方经济的迅速发展也推动了南方城市</w:t>
      </w:r>
      <w:r>
        <w:rPr>
          <w:spacing w:val="-2"/>
        </w:rPr>
        <w:t>的大</w:t>
      </w:r>
      <w:r>
        <w:rPr/>
        <w:t xml:space="preserve"> </w:t>
      </w:r>
      <w:r>
        <w:rPr/>
        <w:t>发展，故选</w:t>
      </w:r>
      <w:r>
        <w:rPr>
          <w:rFonts w:ascii="Times New Roman" w:hAnsi="Times New Roman" w:eastAsia="Times New Roman" w:cs="Times New Roman"/>
        </w:rPr>
        <w:t>D </w:t>
      </w:r>
      <w:r>
        <w:rPr/>
        <w:t>项；材料反映的现象是南北城市发展的</w:t>
      </w:r>
      <w:r>
        <w:rPr>
          <w:spacing w:val="-1"/>
        </w:rPr>
        <w:t>变化，而古代政治重心的转移是向东和</w:t>
      </w:r>
      <w:r>
        <w:rPr/>
        <w:t xml:space="preserve"> </w:t>
      </w:r>
      <w:r>
        <w:rPr/>
        <w:t>向南，排除</w:t>
      </w:r>
      <w:r>
        <w:rPr>
          <w:rFonts w:ascii="Times New Roman" w:hAnsi="Times New Roman" w:eastAsia="Times New Roman" w:cs="Times New Roman"/>
        </w:rPr>
        <w:t>A </w:t>
      </w:r>
      <w:r>
        <w:rPr/>
        <w:t>项；材料并未南北城市的不同职能分工，排</w:t>
      </w:r>
      <w:r>
        <w:rPr>
          <w:spacing w:val="-1"/>
        </w:rPr>
        <w:t>除</w:t>
      </w:r>
      <w:r>
        <w:rPr>
          <w:rFonts w:ascii="Times New Roman" w:hAnsi="Times New Roman" w:eastAsia="Times New Roman" w:cs="Times New Roman"/>
          <w:spacing w:val="-1"/>
        </w:rPr>
        <w:t>B </w:t>
      </w:r>
      <w:r>
        <w:rPr>
          <w:spacing w:val="-1"/>
        </w:rPr>
        <w:t>项；北方只是一定时期内的战</w:t>
      </w:r>
      <w:r>
        <w:rPr/>
        <w:t xml:space="preserve"> </w:t>
      </w:r>
      <w:r>
        <w:rPr>
          <w:spacing w:val="-1"/>
        </w:rPr>
        <w:t>乱而且经济也有恢复和发展，排除C</w:t>
      </w:r>
      <w:r>
        <w:rPr>
          <w:spacing w:val="-15"/>
        </w:rPr>
        <w:t xml:space="preserve"> </w:t>
      </w:r>
      <w:r>
        <w:rPr>
          <w:spacing w:val="-1"/>
        </w:rPr>
        <w:t>项</w:t>
      </w:r>
      <w:r>
        <w:rPr>
          <w:spacing w:val="-38"/>
        </w:rPr>
        <w:t xml:space="preserve"> </w:t>
      </w:r>
      <w:r>
        <w:rPr>
          <w:spacing w:val="-1"/>
        </w:rPr>
        <w:t>。</w:t>
      </w:r>
    </w:p>
    <w:p>
      <w:pPr>
        <w:pStyle w:val="BodyText"/>
        <w:ind w:left="1269" w:right="46" w:hanging="1269"/>
        <w:spacing w:before="50" w:line="266" w:lineRule="auto"/>
        <w:rPr/>
      </w:pPr>
      <w:r>
        <w:rPr>
          <w:rFonts w:ascii="Times New Roman" w:hAnsi="Times New Roman" w:eastAsia="Times New Roman" w:cs="Times New Roman"/>
          <w:spacing w:val="-1"/>
        </w:rPr>
        <w:t>4.B</w:t>
      </w:r>
      <w:r>
        <w:rPr>
          <w:spacing w:val="-1"/>
        </w:rPr>
        <w:t>【</w:t>
      </w:r>
      <w:r>
        <w:rPr>
          <w:spacing w:val="36"/>
        </w:rPr>
        <w:t xml:space="preserve"> </w:t>
      </w:r>
      <w:r>
        <w:rPr>
          <w:spacing w:val="-1"/>
        </w:rPr>
        <w:t>解析】据材料并所学可知，由于行省制的实施开创了中央集权在地方治理层面新的政治模式，对持</w:t>
      </w:r>
      <w:r>
        <w:rPr/>
        <w:t xml:space="preserve"> </w:t>
      </w:r>
      <w:r>
        <w:rPr/>
        <w:t>续开拓和长期维系大一统多民族国家发挥了重要作用，故</w:t>
      </w:r>
      <w:r>
        <w:rPr>
          <w:spacing w:val="-1"/>
        </w:rPr>
        <w:t>选</w:t>
      </w:r>
      <w:r>
        <w:rPr>
          <w:rFonts w:ascii="Times New Roman" w:hAnsi="Times New Roman" w:eastAsia="Times New Roman" w:cs="Times New Roman"/>
          <w:spacing w:val="-1"/>
        </w:rPr>
        <w:t>B </w:t>
      </w:r>
      <w:r>
        <w:rPr>
          <w:spacing w:val="-1"/>
        </w:rPr>
        <w:t>项；蒙古西征发生在元朝建立</w:t>
      </w:r>
      <w:r>
        <w:rPr/>
        <w:t xml:space="preserve"> </w:t>
      </w:r>
      <w:r>
        <w:rPr>
          <w:spacing w:val="-1"/>
        </w:rPr>
        <w:t>前而且并未直接影响元代的统治，排除A 项；中书省设立的主要</w:t>
      </w:r>
      <w:r>
        <w:rPr>
          <w:spacing w:val="-2"/>
        </w:rPr>
        <w:t>目是提高中央政府的行政效</w:t>
      </w:r>
      <w:r>
        <w:rPr/>
        <w:t xml:space="preserve"> </w:t>
      </w:r>
      <w:r>
        <w:rPr/>
        <w:t>率，排除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Times New Roman" w:hAnsi="Times New Roman" w:eastAsia="Times New Roman" w:cs="Times New Roman"/>
          <w:spacing w:val="25"/>
          <w:w w:val="101"/>
        </w:rPr>
        <w:t xml:space="preserve"> </w:t>
      </w:r>
      <w:r>
        <w:rPr/>
        <w:t>项；民族大交融只是反映了各民</w:t>
      </w:r>
      <w:r>
        <w:rPr>
          <w:spacing w:val="-1"/>
        </w:rPr>
        <w:t>族之间交往、交流、交融进一步加深，民族认同</w:t>
      </w:r>
      <w:r>
        <w:rPr/>
        <w:t xml:space="preserve"> </w:t>
      </w:r>
      <w:r>
        <w:rPr>
          <w:spacing w:val="-6"/>
        </w:rPr>
        <w:t>感、凝聚力增强，无法消除“外患”,排除</w:t>
      </w:r>
      <w:r>
        <w:rPr>
          <w:rFonts w:ascii="Times New Roman" w:hAnsi="Times New Roman" w:eastAsia="Times New Roman" w:cs="Times New Roman"/>
          <w:spacing w:val="-6"/>
        </w:rPr>
        <w:t>D</w:t>
      </w:r>
      <w:r>
        <w:rPr>
          <w:rFonts w:ascii="Times New Roman" w:hAnsi="Times New Roman" w:eastAsia="Times New Roman" w:cs="Times New Roman"/>
          <w:spacing w:val="19"/>
          <w:w w:val="101"/>
        </w:rPr>
        <w:t xml:space="preserve"> </w:t>
      </w:r>
      <w:r>
        <w:rPr>
          <w:spacing w:val="-6"/>
        </w:rPr>
        <w:t>项。</w:t>
      </w:r>
    </w:p>
    <w:p>
      <w:pPr>
        <w:pStyle w:val="BodyText"/>
        <w:ind w:left="1269" w:right="62" w:hanging="1269"/>
        <w:spacing w:before="16" w:line="286" w:lineRule="auto"/>
        <w:rPr/>
      </w:pPr>
      <w:r>
        <w:rPr>
          <w:rFonts w:ascii="Times New Roman" w:hAnsi="Times New Roman" w:eastAsia="Times New Roman" w:cs="Times New Roman"/>
          <w:spacing w:val="-1"/>
        </w:rPr>
        <w:t>5.B</w:t>
      </w:r>
      <w:r>
        <w:rPr>
          <w:spacing w:val="-1"/>
        </w:rPr>
        <w:t>【</w:t>
      </w:r>
      <w:r>
        <w:rPr>
          <w:spacing w:val="49"/>
        </w:rPr>
        <w:t xml:space="preserve"> </w:t>
      </w:r>
      <w:r>
        <w:rPr>
          <w:spacing w:val="-1"/>
        </w:rPr>
        <w:t>解析】据材料可知，清代已经形成了外国商船和贡船遇难救助的制度，反映了当时政府维护</w:t>
      </w:r>
      <w:r>
        <w:rPr>
          <w:spacing w:val="-2"/>
        </w:rPr>
        <w:t>海上贸</w:t>
      </w:r>
      <w:r>
        <w:rPr/>
        <w:t xml:space="preserve"> </w:t>
      </w:r>
      <w:r>
        <w:rPr>
          <w:spacing w:val="-4"/>
        </w:rPr>
        <w:t>易秩序的政策和措施，故选</w:t>
      </w:r>
      <w:r>
        <w:rPr>
          <w:rFonts w:ascii="Times New Roman" w:hAnsi="Times New Roman" w:eastAsia="Times New Roman" w:cs="Times New Roman"/>
          <w:spacing w:val="-4"/>
        </w:rPr>
        <w:t>B </w:t>
      </w:r>
      <w:r>
        <w:rPr>
          <w:spacing w:val="-4"/>
        </w:rPr>
        <w:t>项 ；</w:t>
      </w: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D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-4"/>
        </w:rPr>
        <w:t>与材料无直接联系，故排</w:t>
      </w:r>
      <w:r>
        <w:rPr>
          <w:spacing w:val="-5"/>
        </w:rPr>
        <w:t>除。</w:t>
      </w:r>
    </w:p>
    <w:p>
      <w:pPr>
        <w:pStyle w:val="BodyText"/>
        <w:ind w:left="1269" w:right="49" w:hanging="1269"/>
        <w:spacing w:before="1" w:line="272" w:lineRule="auto"/>
        <w:rPr/>
      </w:pPr>
      <w:r>
        <w:rPr>
          <w:rFonts w:ascii="Times New Roman" w:hAnsi="Times New Roman" w:eastAsia="Times New Roman" w:cs="Times New Roman"/>
          <w:spacing w:val="-2"/>
        </w:rPr>
        <w:t>6.D</w:t>
      </w:r>
      <w:r>
        <w:rPr>
          <w:spacing w:val="-2"/>
        </w:rPr>
        <w:t>【</w:t>
      </w:r>
      <w:r>
        <w:rPr>
          <w:spacing w:val="95"/>
        </w:rPr>
        <w:t xml:space="preserve"> </w:t>
      </w:r>
      <w:r>
        <w:rPr>
          <w:spacing w:val="-2"/>
        </w:rPr>
        <w:t>解析】据漫画可知当时日本参与了对中国的瓜分，体现了甲午战争后列强掀起了瓜分中国的狂潮，</w:t>
      </w:r>
      <w:r>
        <w:rPr/>
        <w:t xml:space="preserve"> </w:t>
      </w:r>
      <w:r>
        <w:rPr>
          <w:spacing w:val="3"/>
        </w:rPr>
        <w:t>故选</w:t>
      </w:r>
      <w:r>
        <w:rPr>
          <w:rFonts w:ascii="Times New Roman" w:hAnsi="Times New Roman" w:eastAsia="Times New Roman" w:cs="Times New Roman"/>
          <w:spacing w:val="3"/>
        </w:rPr>
        <w:t>D </w:t>
      </w:r>
      <w:r>
        <w:rPr>
          <w:spacing w:val="3"/>
        </w:rPr>
        <w:t>项。</w:t>
      </w:r>
    </w:p>
    <w:p>
      <w:pPr>
        <w:pStyle w:val="BodyText"/>
        <w:ind w:left="1269" w:hanging="1269"/>
        <w:spacing w:before="4" w:line="263" w:lineRule="auto"/>
        <w:rPr/>
      </w:pPr>
      <w:r>
        <w:rPr>
          <w:rFonts w:ascii="Times New Roman" w:hAnsi="Times New Roman" w:eastAsia="Times New Roman" w:cs="Times New Roman"/>
          <w:spacing w:val="-4"/>
        </w:rPr>
        <w:t>7.C</w:t>
      </w:r>
      <w:r>
        <w:rPr>
          <w:spacing w:val="-4"/>
        </w:rPr>
        <w:t>【 解析】据材料和所学可知《奏定学堂章程》颁行全国成为第一个全国性的法定学制系</w:t>
      </w:r>
      <w:r>
        <w:rPr>
          <w:spacing w:val="-5"/>
        </w:rPr>
        <w:t>统，故选</w:t>
      </w:r>
      <w:r>
        <w:rPr>
          <w:rFonts w:ascii="Times New Roman" w:hAnsi="Times New Roman" w:eastAsia="Times New Roman" w:cs="Times New Roman"/>
          <w:spacing w:val="-5"/>
        </w:rPr>
        <w:t>C</w:t>
      </w:r>
      <w:r>
        <w:rPr>
          <w:rFonts w:ascii="Times New Roman" w:hAnsi="Times New Roman" w:eastAsia="Times New Roman" w:cs="Times New Roman"/>
          <w:spacing w:val="16"/>
        </w:rPr>
        <w:t xml:space="preserve"> </w:t>
      </w:r>
      <w:r>
        <w:rPr>
          <w:spacing w:val="-5"/>
        </w:rPr>
        <w:t>项</w:t>
      </w:r>
      <w:r>
        <w:rPr>
          <w:spacing w:val="-50"/>
        </w:rPr>
        <w:t xml:space="preserve"> </w:t>
      </w:r>
      <w:r>
        <w:rPr>
          <w:spacing w:val="-5"/>
        </w:rPr>
        <w:t>；</w:t>
      </w:r>
      <w:r>
        <w:rPr/>
        <w:t xml:space="preserve"> </w:t>
      </w:r>
      <w:r>
        <w:rPr>
          <w:spacing w:val="-1"/>
        </w:rPr>
        <w:t>洋务运动时期是新式学堂的开始并未形成体系化，排除</w:t>
      </w:r>
      <w:r>
        <w:rPr>
          <w:rFonts w:ascii="Times New Roman" w:hAnsi="Times New Roman" w:eastAsia="Times New Roman" w:cs="Times New Roman"/>
          <w:spacing w:val="-1"/>
        </w:rPr>
        <w:t>A </w:t>
      </w:r>
      <w:r>
        <w:rPr>
          <w:spacing w:val="-1"/>
        </w:rPr>
        <w:t>项；材料只提到了清末新政的教育</w:t>
      </w:r>
      <w:r>
        <w:rPr>
          <w:spacing w:val="14"/>
        </w:rPr>
        <w:t xml:space="preserve"> </w:t>
      </w:r>
      <w:r>
        <w:rPr>
          <w:spacing w:val="2"/>
        </w:rPr>
        <w:t>改革并未指出是核心内容，排除</w:t>
      </w:r>
      <w:r>
        <w:rPr>
          <w:rFonts w:ascii="Times New Roman" w:hAnsi="Times New Roman" w:eastAsia="Times New Roman" w:cs="Times New Roman"/>
          <w:spacing w:val="2"/>
        </w:rPr>
        <w:t>B </w:t>
      </w:r>
      <w:r>
        <w:rPr>
          <w:spacing w:val="2"/>
        </w:rPr>
        <w:t>项；中国教育近代化的标志是京师大学堂，排除</w:t>
      </w:r>
      <w:r>
        <w:rPr>
          <w:rFonts w:ascii="Times New Roman" w:hAnsi="Times New Roman" w:eastAsia="Times New Roman" w:cs="Times New Roman"/>
          <w:spacing w:val="2"/>
        </w:rPr>
        <w:t>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spacing w:val="1"/>
        </w:rPr>
        <w:t>项。</w:t>
      </w:r>
    </w:p>
    <w:p>
      <w:pPr>
        <w:pStyle w:val="BodyText"/>
        <w:ind w:left="1269" w:right="52" w:hanging="1269"/>
        <w:spacing w:before="18" w:line="273" w:lineRule="auto"/>
        <w:rPr/>
      </w:pPr>
      <w:r>
        <w:rPr>
          <w:rFonts w:ascii="Times New Roman" w:hAnsi="Times New Roman" w:eastAsia="Times New Roman" w:cs="Times New Roman"/>
          <w:spacing w:val="-1"/>
        </w:rPr>
        <w:t>8.D</w:t>
      </w:r>
      <w:r>
        <w:rPr>
          <w:spacing w:val="-1"/>
        </w:rPr>
        <w:t>【</w:t>
      </w:r>
      <w:r>
        <w:rPr>
          <w:spacing w:val="49"/>
        </w:rPr>
        <w:t xml:space="preserve"> </w:t>
      </w:r>
      <w:r>
        <w:rPr>
          <w:spacing w:val="-1"/>
        </w:rPr>
        <w:t>解析】据材料可知，研究辛亥革命要具有全球意识，辛亥革命的发生与世界资产阶级革</w:t>
      </w:r>
      <w:r>
        <w:rPr>
          <w:spacing w:val="-2"/>
        </w:rPr>
        <w:t>命、华侨华</w:t>
      </w:r>
      <w:r>
        <w:rPr/>
        <w:t xml:space="preserve"> </w:t>
      </w:r>
      <w:r>
        <w:rPr>
          <w:spacing w:val="2"/>
        </w:rPr>
        <w:t>人、同盟会的分支遍布海外有关，故选</w:t>
      </w:r>
      <w:r>
        <w:rPr>
          <w:rFonts w:ascii="Times New Roman" w:hAnsi="Times New Roman" w:eastAsia="Times New Roman" w:cs="Times New Roman"/>
          <w:spacing w:val="2"/>
        </w:rPr>
        <w:t>D </w:t>
      </w:r>
      <w:r>
        <w:rPr>
          <w:spacing w:val="2"/>
        </w:rPr>
        <w:t>项。</w:t>
      </w:r>
    </w:p>
    <w:p>
      <w:pPr>
        <w:pStyle w:val="BodyText"/>
        <w:ind w:left="1269" w:right="53" w:hanging="1269"/>
        <w:spacing w:line="286" w:lineRule="auto"/>
        <w:rPr/>
      </w:pPr>
      <w:r>
        <w:rPr>
          <w:rFonts w:ascii="Times New Roman" w:hAnsi="Times New Roman" w:eastAsia="Times New Roman" w:cs="Times New Roman"/>
          <w:spacing w:val="-13"/>
        </w:rPr>
        <w:t>9.D</w:t>
      </w:r>
      <w:r>
        <w:rPr>
          <w:spacing w:val="-13"/>
        </w:rPr>
        <w:t>【</w:t>
      </w:r>
      <w:r>
        <w:rPr>
          <w:spacing w:val="45"/>
        </w:rPr>
        <w:t xml:space="preserve"> </w:t>
      </w:r>
      <w:r>
        <w:rPr>
          <w:spacing w:val="-13"/>
        </w:rPr>
        <w:t>解析】据材料“《停止打内战》《开会</w:t>
      </w:r>
      <w:r>
        <w:rPr>
          <w:spacing w:val="-14"/>
        </w:rPr>
        <w:t>讨论来分田》《千年奴隶当了家》”、“冀中大地”可知为解放战</w:t>
      </w:r>
      <w:r>
        <w:rPr/>
        <w:t xml:space="preserve"> </w:t>
      </w:r>
      <w:r>
        <w:rPr>
          <w:spacing w:val="3"/>
        </w:rPr>
        <w:t>争时期，故选</w:t>
      </w:r>
      <w:r>
        <w:rPr>
          <w:rFonts w:ascii="Times New Roman" w:hAnsi="Times New Roman" w:eastAsia="Times New Roman" w:cs="Times New Roman"/>
          <w:spacing w:val="3"/>
        </w:rPr>
        <w:t>D </w:t>
      </w:r>
      <w:r>
        <w:rPr>
          <w:spacing w:val="3"/>
        </w:rPr>
        <w:t>项。</w:t>
      </w:r>
    </w:p>
    <w:p>
      <w:pPr>
        <w:pStyle w:val="BodyText"/>
        <w:ind w:left="1269" w:right="93" w:hanging="1269"/>
        <w:spacing w:before="7" w:line="259" w:lineRule="auto"/>
        <w:rPr/>
      </w:pPr>
      <w:r>
        <w:rPr>
          <w:rFonts w:ascii="Times New Roman" w:hAnsi="Times New Roman" w:eastAsia="Times New Roman" w:cs="Times New Roman"/>
          <w:spacing w:val="-4"/>
        </w:rPr>
        <w:t>10.A</w:t>
      </w:r>
      <w:r>
        <w:rPr>
          <w:spacing w:val="-4"/>
        </w:rPr>
        <w:t>【</w:t>
      </w:r>
      <w:r>
        <w:rPr>
          <w:spacing w:val="56"/>
        </w:rPr>
        <w:t xml:space="preserve"> </w:t>
      </w:r>
      <w:r>
        <w:rPr>
          <w:spacing w:val="-4"/>
        </w:rPr>
        <w:t>解析】材料体现的外交理念是和平共处五项原则，最早于1953年提出，提出了“求同存</w:t>
      </w:r>
      <w:r>
        <w:rPr>
          <w:spacing w:val="-5"/>
        </w:rPr>
        <w:t>异”的万隆</w:t>
      </w:r>
      <w:r>
        <w:rPr/>
        <w:t xml:space="preserve"> </w:t>
      </w:r>
      <w:r>
        <w:rPr>
          <w:spacing w:val="5"/>
        </w:rPr>
        <w:t>精神是在1955年万隆亚非会议，故①正确；印度支那问题得以政治解决是在1954年日内</w:t>
      </w:r>
      <w:r>
        <w:rPr>
          <w:spacing w:val="3"/>
        </w:rPr>
        <w:t xml:space="preserve">  </w:t>
      </w:r>
      <w:r>
        <w:rPr>
          <w:spacing w:val="1"/>
        </w:rPr>
        <w:t>瓦会议，故②正确；中法1964年建交实现了中国同西方大国关系的突破，不符合新中国初</w:t>
      </w:r>
      <w:r>
        <w:rPr/>
        <w:t xml:space="preserve">  </w:t>
      </w:r>
      <w:r>
        <w:rPr>
          <w:spacing w:val="-9"/>
        </w:rPr>
        <w:t>期的时间，故③错误；《中苏友好同盟互助条约》的签订是在“一边倒”方针指导下，故④错</w:t>
      </w:r>
      <w:r>
        <w:rPr>
          <w:spacing w:val="15"/>
        </w:rPr>
        <w:t xml:space="preserve"> </w:t>
      </w:r>
      <w:r>
        <w:rPr>
          <w:spacing w:val="1"/>
        </w:rPr>
        <w:t>误。选择</w:t>
      </w:r>
      <w:r>
        <w:rPr>
          <w:rFonts w:ascii="Times New Roman" w:hAnsi="Times New Roman" w:eastAsia="Times New Roman" w:cs="Times New Roman"/>
          <w:spacing w:val="1"/>
        </w:rPr>
        <w:t>A </w:t>
      </w:r>
      <w:r>
        <w:rPr>
          <w:spacing w:val="1"/>
        </w:rPr>
        <w:t>项符合题意。</w:t>
      </w:r>
    </w:p>
    <w:p>
      <w:pPr>
        <w:pStyle w:val="BodyText"/>
        <w:ind w:left="1269" w:right="122" w:hanging="1269"/>
        <w:spacing w:before="58" w:line="268" w:lineRule="auto"/>
        <w:rPr/>
      </w:pPr>
      <w:r>
        <w:rPr>
          <w:rFonts w:ascii="Times New Roman" w:hAnsi="Times New Roman" w:eastAsia="Times New Roman" w:cs="Times New Roman"/>
        </w:rPr>
        <w:t>11.C</w:t>
      </w:r>
      <w:r>
        <w:rPr/>
        <w:t>【</w:t>
      </w:r>
      <w:r>
        <w:rPr>
          <w:spacing w:val="68"/>
        </w:rPr>
        <w:t xml:space="preserve"> </w:t>
      </w:r>
      <w:r>
        <w:rPr/>
        <w:t>解析】材料反映了《汉谟拉比法典》规</w:t>
      </w:r>
      <w:r>
        <w:rPr>
          <w:spacing w:val="-1"/>
        </w:rPr>
        <w:t>定了贵族伤害平民时需要赔偿的银块的数量，说明银块在</w:t>
      </w:r>
      <w:r>
        <w:rPr/>
        <w:t xml:space="preserve"> </w:t>
      </w:r>
      <w:r>
        <w:rPr/>
        <w:t>当时已经得到了普及，故选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/>
        <w:t>项；材料体现了“交易银块</w:t>
      </w:r>
      <w:r>
        <w:rPr>
          <w:spacing w:val="-1"/>
        </w:rPr>
        <w:t>时的单位”而银块并不是金属铸</w:t>
      </w:r>
    </w:p>
    <w:p>
      <w:pPr>
        <w:pStyle w:val="BodyText"/>
        <w:ind w:left="3569" w:right="204" w:hanging="2300"/>
        <w:spacing w:before="31" w:line="339" w:lineRule="auto"/>
        <w:rPr/>
      </w:pPr>
      <w:r>
        <w:rPr>
          <w:spacing w:val="-4"/>
        </w:rPr>
        <w:t>币，排除</w:t>
      </w:r>
      <w:r>
        <w:rPr>
          <w:rFonts w:ascii="Times New Roman" w:hAnsi="Times New Roman" w:eastAsia="Times New Roman" w:cs="Times New Roman"/>
          <w:spacing w:val="-4"/>
        </w:rPr>
        <w:t>A </w:t>
      </w:r>
      <w:r>
        <w:rPr>
          <w:spacing w:val="-4"/>
        </w:rPr>
        <w:t>项；材料只体现了交易银块时的单位使用了60进制，排除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4"/>
        </w:rPr>
        <w:t>项；材料反映了《汉</w:t>
      </w:r>
      <w:r>
        <w:rPr/>
        <w:t xml:space="preserve"> </w:t>
      </w:r>
      <w:r>
        <w:rPr>
          <w:spacing w:val="-1"/>
        </w:rPr>
        <w:t>高三历史答案第1页(共3页)</w:t>
      </w:r>
    </w:p>
    <w:p>
      <w:pPr>
        <w:spacing w:line="339" w:lineRule="auto"/>
        <w:sectPr>
          <w:pgSz w:w="11910" w:h="16840"/>
          <w:pgMar w:top="1294" w:right="1095" w:bottom="0" w:left="1110" w:header="0" w:footer="0" w:gutter="0"/>
        </w:sectPr>
        <w:rPr/>
      </w:pPr>
    </w:p>
    <w:p>
      <w:pPr>
        <w:pStyle w:val="BodyText"/>
        <w:ind w:left="1380"/>
        <w:spacing w:before="40" w:line="219" w:lineRule="auto"/>
        <w:rPr>
          <w:sz w:val="20"/>
          <w:szCs w:val="20"/>
        </w:rPr>
      </w:pPr>
      <w:r>
        <w:rPr>
          <w:sz w:val="20"/>
          <w:szCs w:val="20"/>
          <w:spacing w:val="5"/>
        </w:rPr>
        <w:t>谟拉比法典》</w:t>
      </w:r>
      <w:r>
        <w:rPr>
          <w:sz w:val="20"/>
          <w:szCs w:val="20"/>
          <w:spacing w:val="-26"/>
        </w:rPr>
        <w:t xml:space="preserve"> </w:t>
      </w:r>
      <w:r>
        <w:rPr>
          <w:sz w:val="20"/>
          <w:szCs w:val="20"/>
          <w:spacing w:val="5"/>
        </w:rPr>
        <w:t>一定程度上维护平民的利益，排除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29"/>
          <w:w w:val="101"/>
        </w:rPr>
        <w:t xml:space="preserve"> </w:t>
      </w:r>
      <w:r>
        <w:rPr>
          <w:sz w:val="20"/>
          <w:szCs w:val="20"/>
          <w:spacing w:val="5"/>
        </w:rPr>
        <w:t>项</w:t>
      </w:r>
      <w:r>
        <w:rPr>
          <w:sz w:val="20"/>
          <w:szCs w:val="20"/>
          <w:spacing w:val="-40"/>
        </w:rPr>
        <w:t xml:space="preserve"> </w:t>
      </w:r>
      <w:r>
        <w:rPr>
          <w:sz w:val="20"/>
          <w:szCs w:val="20"/>
          <w:spacing w:val="5"/>
        </w:rPr>
        <w:t>。</w:t>
      </w:r>
    </w:p>
    <w:p>
      <w:pPr>
        <w:pStyle w:val="BodyText"/>
        <w:ind w:left="1380" w:hanging="1380"/>
        <w:spacing w:before="80" w:line="277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13"/>
        </w:rPr>
        <w:t>12.B</w:t>
      </w:r>
      <w:r>
        <w:rPr>
          <w:sz w:val="20"/>
          <w:szCs w:val="20"/>
          <w:spacing w:val="13"/>
        </w:rPr>
        <w:t>【</w:t>
      </w:r>
      <w:r>
        <w:rPr>
          <w:sz w:val="20"/>
          <w:szCs w:val="20"/>
          <w:spacing w:val="76"/>
        </w:rPr>
        <w:t xml:space="preserve"> </w:t>
      </w:r>
      <w:r>
        <w:rPr>
          <w:sz w:val="20"/>
          <w:szCs w:val="20"/>
          <w:spacing w:val="13"/>
        </w:rPr>
        <w:t>解析】世界贸易多中心的新格局形成在19世纪末20世纪初，故①错误；亚、非、拉等地纳入资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spacing w:val="8"/>
        </w:rPr>
        <w:t>本主义世界市场在第一次工业革命后，故②错误；由图可知新航路开辟后欧洲建立了同</w:t>
      </w:r>
      <w:r>
        <w:rPr>
          <w:sz w:val="20"/>
          <w:szCs w:val="20"/>
          <w:spacing w:val="7"/>
        </w:rPr>
        <w:t>亚、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非、拉的商业联系，故③正确；结合所学和白银的流向可知新航路</w:t>
      </w:r>
      <w:r>
        <w:rPr>
          <w:sz w:val="20"/>
          <w:szCs w:val="20"/>
          <w:spacing w:val="9"/>
        </w:rPr>
        <w:t>开辟后，新的亚洲贸易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spacing w:val="9"/>
        </w:rPr>
        <w:t>中心形成，故④正确。选择</w:t>
      </w:r>
      <w:r>
        <w:rPr>
          <w:rFonts w:ascii="Times New Roman" w:hAnsi="Times New Roman" w:eastAsia="Times New Roman" w:cs="Times New Roman"/>
          <w:sz w:val="20"/>
          <w:szCs w:val="20"/>
          <w:spacing w:val="9"/>
        </w:rPr>
        <w:t>B </w:t>
      </w:r>
      <w:r>
        <w:rPr>
          <w:sz w:val="20"/>
          <w:szCs w:val="20"/>
          <w:spacing w:val="9"/>
        </w:rPr>
        <w:t>项符合题意。</w:t>
      </w:r>
    </w:p>
    <w:p>
      <w:pPr>
        <w:pStyle w:val="BodyText"/>
        <w:ind w:left="1380" w:right="58" w:hanging="1380"/>
        <w:spacing w:before="2" w:line="286" w:lineRule="auto"/>
        <w:rPr>
          <w:sz w:val="20"/>
          <w:szCs w:val="20"/>
        </w:rPr>
      </w:pPr>
      <w:r>
        <w:rPr>
          <w:sz w:val="20"/>
          <w:szCs w:val="20"/>
          <w:spacing w:val="9"/>
        </w:rPr>
        <w:t>13.A【</w:t>
      </w:r>
      <w:r>
        <w:rPr>
          <w:sz w:val="20"/>
          <w:szCs w:val="20"/>
          <w:spacing w:val="107"/>
        </w:rPr>
        <w:t xml:space="preserve"> </w:t>
      </w:r>
      <w:r>
        <w:rPr>
          <w:sz w:val="20"/>
          <w:szCs w:val="20"/>
          <w:spacing w:val="9"/>
        </w:rPr>
        <w:t>解析】17世纪英国政局动荡并爆发革命，在克伦威尔执政、斯图亚特王朝复辟以及光荣革命等一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系列事件中，咖啡馆逐渐成为公众活动及舆论形成的重要场所，故选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A </w:t>
      </w:r>
      <w:r>
        <w:rPr>
          <w:sz w:val="20"/>
          <w:szCs w:val="20"/>
          <w:spacing w:val="10"/>
        </w:rPr>
        <w:t>项；从材料可知咖</w:t>
      </w:r>
      <w:r>
        <w:rPr>
          <w:sz w:val="20"/>
          <w:szCs w:val="20"/>
          <w:spacing w:val="7"/>
        </w:rPr>
        <w:t xml:space="preserve"> </w:t>
      </w:r>
      <w:r>
        <w:rPr>
          <w:sz w:val="20"/>
          <w:szCs w:val="20"/>
          <w:spacing w:val="10"/>
        </w:rPr>
        <w:t>啡馆主要是人们聚会和发表言论的场所，并未直接体现资产阶级思想文化，排除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spacing w:val="25"/>
          <w:w w:val="101"/>
        </w:rPr>
        <w:t xml:space="preserve"> </w:t>
      </w:r>
      <w:r>
        <w:rPr>
          <w:sz w:val="20"/>
          <w:szCs w:val="20"/>
          <w:spacing w:val="10"/>
        </w:rPr>
        <w:t>项；为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英国资产阶级革命做了思想动员的是英国的启蒙运动，排除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34"/>
        </w:rPr>
        <w:t xml:space="preserve"> </w:t>
      </w:r>
      <w:r>
        <w:rPr>
          <w:sz w:val="20"/>
          <w:szCs w:val="20"/>
          <w:spacing w:val="10"/>
        </w:rPr>
        <w:t>项；咖啡馆不能直</w:t>
      </w:r>
      <w:r>
        <w:rPr>
          <w:sz w:val="20"/>
          <w:szCs w:val="20"/>
          <w:spacing w:val="9"/>
        </w:rPr>
        <w:t>接推动资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7"/>
        </w:rPr>
        <w:t>产阶级民主制度的发展，排除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41"/>
          <w:w w:val="101"/>
        </w:rPr>
        <w:t xml:space="preserve"> </w:t>
      </w:r>
      <w:r>
        <w:rPr>
          <w:sz w:val="20"/>
          <w:szCs w:val="20"/>
          <w:spacing w:val="7"/>
        </w:rPr>
        <w:t>项</w:t>
      </w:r>
      <w:r>
        <w:rPr>
          <w:sz w:val="20"/>
          <w:szCs w:val="20"/>
          <w:spacing w:val="-50"/>
        </w:rPr>
        <w:t xml:space="preserve"> </w:t>
      </w:r>
      <w:r>
        <w:rPr>
          <w:sz w:val="20"/>
          <w:szCs w:val="20"/>
          <w:spacing w:val="7"/>
        </w:rPr>
        <w:t>。</w:t>
      </w:r>
    </w:p>
    <w:p>
      <w:pPr>
        <w:pStyle w:val="BodyText"/>
        <w:spacing w:line="219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12"/>
        </w:rPr>
        <w:t>14.A</w:t>
      </w:r>
      <w:r>
        <w:rPr>
          <w:sz w:val="20"/>
          <w:szCs w:val="20"/>
          <w:spacing w:val="12"/>
        </w:rPr>
        <w:t>【</w:t>
      </w:r>
      <w:r>
        <w:rPr>
          <w:sz w:val="20"/>
          <w:szCs w:val="20"/>
          <w:spacing w:val="4"/>
        </w:rPr>
        <w:t xml:space="preserve">  </w:t>
      </w:r>
      <w:r>
        <w:rPr>
          <w:sz w:val="20"/>
          <w:szCs w:val="20"/>
          <w:spacing w:val="12"/>
        </w:rPr>
        <w:t>解析】1921年列宁的新经济政策推动了1920年代经济恢复和发展，故选</w:t>
      </w:r>
      <w:r>
        <w:rPr>
          <w:rFonts w:ascii="Times New Roman" w:hAnsi="Times New Roman" w:eastAsia="Times New Roman" w:cs="Times New Roman"/>
          <w:sz w:val="20"/>
          <w:szCs w:val="20"/>
          <w:spacing w:val="12"/>
        </w:rPr>
        <w:t>A</w:t>
      </w:r>
      <w:r>
        <w:rPr>
          <w:rFonts w:ascii="Times New Roman" w:hAnsi="Times New Roman" w:eastAsia="Times New Roman" w:cs="Times New Roman"/>
          <w:sz w:val="20"/>
          <w:szCs w:val="20"/>
          <w:spacing w:val="17"/>
        </w:rPr>
        <w:t xml:space="preserve"> </w:t>
      </w:r>
      <w:r>
        <w:rPr>
          <w:sz w:val="20"/>
          <w:szCs w:val="20"/>
          <w:spacing w:val="12"/>
        </w:rPr>
        <w:t>项；美</w:t>
      </w:r>
      <w:r>
        <w:rPr>
          <w:sz w:val="20"/>
          <w:szCs w:val="20"/>
          <w:spacing w:val="11"/>
        </w:rPr>
        <w:t>国在一战重大</w:t>
      </w:r>
    </w:p>
    <w:p>
      <w:pPr>
        <w:pStyle w:val="BodyText"/>
        <w:ind w:left="1380" w:right="58"/>
        <w:spacing w:before="93" w:line="291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发战争横财，排除</w:t>
      </w:r>
      <w:r>
        <w:rPr>
          <w:rFonts w:ascii="Times New Roman" w:hAnsi="Times New Roman" w:eastAsia="Times New Roman" w:cs="Times New Roman"/>
          <w:sz w:val="20"/>
          <w:szCs w:val="20"/>
          <w:spacing w:val="12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spacing w:val="20"/>
        </w:rPr>
        <w:t xml:space="preserve"> </w:t>
      </w:r>
      <w:r>
        <w:rPr>
          <w:sz w:val="20"/>
          <w:szCs w:val="20"/>
          <w:spacing w:val="12"/>
        </w:rPr>
        <w:t>项；苏联成为欧洲第一工</w:t>
      </w:r>
      <w:r>
        <w:rPr>
          <w:sz w:val="20"/>
          <w:szCs w:val="20"/>
          <w:spacing w:val="11"/>
        </w:rPr>
        <w:t>业强国与斯大林相关，排除</w:t>
      </w: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24"/>
        </w:rPr>
        <w:t xml:space="preserve"> </w:t>
      </w:r>
      <w:r>
        <w:rPr>
          <w:sz w:val="20"/>
          <w:szCs w:val="20"/>
          <w:spacing w:val="11"/>
        </w:rPr>
        <w:t>项；二战后苏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7"/>
        </w:rPr>
        <w:t>联经济恢复和发展，排除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36"/>
          <w:w w:val="101"/>
        </w:rPr>
        <w:t xml:space="preserve"> </w:t>
      </w:r>
      <w:r>
        <w:rPr>
          <w:sz w:val="20"/>
          <w:szCs w:val="20"/>
          <w:spacing w:val="7"/>
        </w:rPr>
        <w:t>项。</w:t>
      </w:r>
    </w:p>
    <w:p>
      <w:pPr>
        <w:pStyle w:val="BodyText"/>
        <w:spacing w:before="16" w:line="217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15.B</w:t>
      </w:r>
      <w:r>
        <w:rPr>
          <w:sz w:val="20"/>
          <w:szCs w:val="20"/>
          <w:spacing w:val="5"/>
        </w:rPr>
        <w:t>【  解析】《联合国海洋法公约》无法消除国际法实施中的局限性，</w:t>
      </w:r>
      <w:r>
        <w:rPr>
          <w:sz w:val="20"/>
          <w:szCs w:val="20"/>
          <w:spacing w:val="4"/>
        </w:rPr>
        <w:t>③错误，故选</w:t>
      </w:r>
      <w:r>
        <w:rPr>
          <w:rFonts w:ascii="Times New Roman" w:hAnsi="Times New Roman" w:eastAsia="Times New Roman" w:cs="Times New Roman"/>
          <w:sz w:val="20"/>
          <w:szCs w:val="20"/>
          <w:spacing w:val="4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spacing w:val="31"/>
        </w:rPr>
        <w:t xml:space="preserve"> </w:t>
      </w:r>
      <w:r>
        <w:rPr>
          <w:sz w:val="20"/>
          <w:szCs w:val="20"/>
          <w:spacing w:val="4"/>
        </w:rPr>
        <w:t>项。</w:t>
      </w:r>
    </w:p>
    <w:p>
      <w:pPr>
        <w:pStyle w:val="BodyText"/>
        <w:ind w:left="449" w:right="31" w:hanging="447"/>
        <w:spacing w:before="77" w:line="271" w:lineRule="auto"/>
        <w:rPr>
          <w:sz w:val="20"/>
          <w:szCs w:val="20"/>
        </w:rPr>
      </w:pPr>
      <w:r>
        <w:rPr>
          <w:sz w:val="20"/>
          <w:szCs w:val="20"/>
          <w:b/>
          <w:bCs/>
          <w:spacing w:val="15"/>
        </w:rPr>
        <w:t>二</w:t>
      </w:r>
      <w:r>
        <w:rPr>
          <w:sz w:val="20"/>
          <w:szCs w:val="20"/>
          <w:spacing w:val="-46"/>
        </w:rPr>
        <w:t xml:space="preserve"> </w:t>
      </w:r>
      <w:r>
        <w:rPr>
          <w:sz w:val="20"/>
          <w:szCs w:val="20"/>
          <w:b/>
          <w:bCs/>
          <w:spacing w:val="15"/>
        </w:rPr>
        <w:t>、选择题Ⅱ</w:t>
      </w:r>
      <w:r>
        <w:rPr>
          <w:sz w:val="20"/>
          <w:szCs w:val="20"/>
          <w:spacing w:val="15"/>
        </w:rPr>
        <w:t>(本大题共6小题，每小题3分，共18分。每小题列出的四个备选项中只</w:t>
      </w:r>
      <w:r>
        <w:rPr>
          <w:sz w:val="20"/>
          <w:szCs w:val="20"/>
          <w:spacing w:val="14"/>
        </w:rPr>
        <w:t>有一个是符合题目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要求的，不选、多选、错选均不得分)</w:t>
      </w:r>
    </w:p>
    <w:tbl>
      <w:tblPr>
        <w:tblStyle w:val="TableNormal"/>
        <w:tblW w:w="5359" w:type="dxa"/>
        <w:tblInd w:w="29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3"/>
        <w:gridCol w:w="738"/>
        <w:gridCol w:w="719"/>
        <w:gridCol w:w="738"/>
        <w:gridCol w:w="719"/>
        <w:gridCol w:w="739"/>
        <w:gridCol w:w="723"/>
      </w:tblGrid>
      <w:tr>
        <w:trPr>
          <w:trHeight w:val="469" w:hRule="atLeast"/>
        </w:trPr>
        <w:tc>
          <w:tcPr>
            <w:tcW w:w="983" w:type="dxa"/>
            <w:vAlign w:val="top"/>
          </w:tcPr>
          <w:p>
            <w:pPr>
              <w:pStyle w:val="TableText"/>
              <w:ind w:left="275"/>
              <w:spacing w:before="134" w:line="221" w:lineRule="auto"/>
              <w:rPr/>
            </w:pPr>
            <w:r>
              <w:rPr>
                <w:spacing w:val="6"/>
              </w:rPr>
              <w:t>题号</w:t>
            </w:r>
          </w:p>
        </w:tc>
        <w:tc>
          <w:tcPr>
            <w:tcW w:w="738" w:type="dxa"/>
            <w:vAlign w:val="top"/>
          </w:tcPr>
          <w:p>
            <w:pPr>
              <w:pStyle w:val="TableText"/>
              <w:ind w:left="251"/>
              <w:spacing w:before="186" w:line="184" w:lineRule="auto"/>
              <w:rPr/>
            </w:pPr>
            <w:r>
              <w:rPr>
                <w:spacing w:val="-6"/>
              </w:rPr>
              <w:t>16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ind w:left="244"/>
              <w:spacing w:before="186" w:line="184" w:lineRule="auto"/>
              <w:rPr/>
            </w:pPr>
            <w:r>
              <w:rPr>
                <w:spacing w:val="-6"/>
              </w:rPr>
              <w:t>17</w:t>
            </w:r>
          </w:p>
        </w:tc>
        <w:tc>
          <w:tcPr>
            <w:tcW w:w="738" w:type="dxa"/>
            <w:vAlign w:val="top"/>
          </w:tcPr>
          <w:p>
            <w:pPr>
              <w:pStyle w:val="TableText"/>
              <w:ind w:left="254"/>
              <w:spacing w:before="186" w:line="184" w:lineRule="auto"/>
              <w:rPr/>
            </w:pPr>
            <w:r>
              <w:rPr>
                <w:spacing w:val="-6"/>
              </w:rPr>
              <w:t>18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ind w:left="246"/>
              <w:spacing w:before="186" w:line="184" w:lineRule="auto"/>
              <w:rPr/>
            </w:pPr>
            <w:r>
              <w:rPr>
                <w:spacing w:val="-6"/>
              </w:rPr>
              <w:t>19</w:t>
            </w:r>
          </w:p>
        </w:tc>
        <w:tc>
          <w:tcPr>
            <w:tcW w:w="739" w:type="dxa"/>
            <w:vAlign w:val="top"/>
          </w:tcPr>
          <w:p>
            <w:pPr>
              <w:pStyle w:val="TableText"/>
              <w:ind w:left="257"/>
              <w:spacing w:before="187" w:line="183" w:lineRule="auto"/>
              <w:rPr/>
            </w:pPr>
            <w:r>
              <w:rPr>
                <w:spacing w:val="-3"/>
              </w:rPr>
              <w:t>20</w:t>
            </w:r>
          </w:p>
        </w:tc>
        <w:tc>
          <w:tcPr>
            <w:tcW w:w="723" w:type="dxa"/>
            <w:vAlign w:val="top"/>
          </w:tcPr>
          <w:p>
            <w:pPr>
              <w:pStyle w:val="TableText"/>
              <w:ind w:left="249"/>
              <w:spacing w:before="186" w:line="184" w:lineRule="auto"/>
              <w:rPr/>
            </w:pPr>
            <w:r>
              <w:rPr>
                <w:spacing w:val="-3"/>
              </w:rPr>
              <w:t>21</w:t>
            </w:r>
          </w:p>
        </w:tc>
      </w:tr>
      <w:tr>
        <w:trPr>
          <w:trHeight w:val="460" w:hRule="atLeast"/>
        </w:trPr>
        <w:tc>
          <w:tcPr>
            <w:tcW w:w="983" w:type="dxa"/>
            <w:vAlign w:val="top"/>
          </w:tcPr>
          <w:p>
            <w:pPr>
              <w:pStyle w:val="TableText"/>
              <w:ind w:left="275"/>
              <w:spacing w:before="135" w:line="220" w:lineRule="auto"/>
              <w:rPr/>
            </w:pPr>
            <w:r>
              <w:rPr>
                <w:spacing w:val="-3"/>
              </w:rPr>
              <w:t>答案</w:t>
            </w:r>
          </w:p>
        </w:tc>
        <w:tc>
          <w:tcPr>
            <w:tcW w:w="738" w:type="dxa"/>
            <w:vAlign w:val="top"/>
          </w:tcPr>
          <w:p>
            <w:pPr>
              <w:pStyle w:val="TableText"/>
              <w:ind w:left="301"/>
              <w:spacing w:before="189" w:line="182" w:lineRule="auto"/>
              <w:rPr/>
            </w:pPr>
            <w:r>
              <w:rPr/>
              <w:t>D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ind w:left="293"/>
              <w:spacing w:before="187" w:line="184" w:lineRule="auto"/>
              <w:rPr/>
            </w:pPr>
            <w:r>
              <w:rPr/>
              <w:t>A</w:t>
            </w:r>
          </w:p>
        </w:tc>
        <w:tc>
          <w:tcPr>
            <w:tcW w:w="738" w:type="dxa"/>
            <w:vAlign w:val="top"/>
          </w:tcPr>
          <w:p>
            <w:pPr>
              <w:pStyle w:val="TableText"/>
              <w:ind w:left="305"/>
              <w:spacing w:before="189" w:line="182" w:lineRule="auto"/>
              <w:rPr/>
            </w:pPr>
            <w:r>
              <w:rPr/>
              <w:t>B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ind w:left="296"/>
              <w:spacing w:before="188" w:line="183" w:lineRule="auto"/>
              <w:rPr/>
            </w:pPr>
            <w:r>
              <w:rPr/>
              <w:t>C</w:t>
            </w:r>
          </w:p>
        </w:tc>
        <w:tc>
          <w:tcPr>
            <w:tcW w:w="739" w:type="dxa"/>
            <w:vAlign w:val="top"/>
          </w:tcPr>
          <w:p>
            <w:pPr>
              <w:pStyle w:val="TableText"/>
              <w:ind w:left="307"/>
              <w:spacing w:before="189" w:line="182" w:lineRule="auto"/>
              <w:rPr/>
            </w:pPr>
            <w:r>
              <w:rPr/>
              <w:t>B</w:t>
            </w:r>
          </w:p>
        </w:tc>
        <w:tc>
          <w:tcPr>
            <w:tcW w:w="723" w:type="dxa"/>
            <w:vAlign w:val="top"/>
          </w:tcPr>
          <w:p>
            <w:pPr>
              <w:pStyle w:val="TableText"/>
              <w:ind w:left="299"/>
              <w:spacing w:before="188" w:line="183" w:lineRule="auto"/>
              <w:rPr/>
            </w:pPr>
            <w:r>
              <w:rPr/>
              <w:t>C</w:t>
            </w:r>
          </w:p>
        </w:tc>
      </w:tr>
    </w:tbl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spacing w:before="65" w:line="219" w:lineRule="auto"/>
        <w:rPr>
          <w:sz w:val="20"/>
          <w:szCs w:val="20"/>
        </w:rPr>
      </w:pPr>
      <w:r>
        <w:rPr>
          <w:sz w:val="20"/>
          <w:szCs w:val="20"/>
          <w:spacing w:val="6"/>
        </w:rPr>
        <w:t>16.D【</w:t>
      </w:r>
      <w:r>
        <w:rPr>
          <w:sz w:val="20"/>
          <w:szCs w:val="20"/>
          <w:spacing w:val="74"/>
        </w:rPr>
        <w:t xml:space="preserve"> </w:t>
      </w:r>
      <w:r>
        <w:rPr>
          <w:sz w:val="20"/>
          <w:szCs w:val="20"/>
          <w:spacing w:val="6"/>
        </w:rPr>
        <w:t>解析】据材料可知，这一记载反映的是黄帝画野分州传说，由东汉班固《汉书 ·</w:t>
      </w:r>
      <w:r>
        <w:rPr>
          <w:sz w:val="20"/>
          <w:szCs w:val="20"/>
          <w:spacing w:val="-82"/>
        </w:rPr>
        <w:t xml:space="preserve"> </w:t>
      </w:r>
      <w:r>
        <w:rPr>
          <w:sz w:val="20"/>
          <w:szCs w:val="20"/>
          <w:spacing w:val="6"/>
        </w:rPr>
        <w:t>地理志》可知时</w:t>
      </w:r>
    </w:p>
    <w:p>
      <w:pPr>
        <w:pStyle w:val="BodyText"/>
        <w:ind w:left="1380" w:right="59"/>
        <w:spacing w:before="74" w:line="277" w:lineRule="auto"/>
        <w:jc w:val="both"/>
        <w:rPr>
          <w:sz w:val="20"/>
          <w:szCs w:val="20"/>
        </w:rPr>
      </w:pPr>
      <w:r>
        <w:rPr>
          <w:sz w:val="20"/>
          <w:szCs w:val="20"/>
          <w:spacing w:val="6"/>
        </w:rPr>
        <w:t>间是东汉，故这一传说建立在汉代“州”这一行政区划出现的基础上，故选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24"/>
        </w:rPr>
        <w:t xml:space="preserve"> </w:t>
      </w:r>
      <w:r>
        <w:rPr>
          <w:sz w:val="20"/>
          <w:szCs w:val="20"/>
          <w:spacing w:val="6"/>
        </w:rPr>
        <w:t>项；“黄帝是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8"/>
        </w:rPr>
        <w:t>华夏民族的始祖之一”与材料无关，排除</w:t>
      </w:r>
      <w:r>
        <w:rPr>
          <w:rFonts w:ascii="Times New Roman" w:hAnsi="Times New Roman" w:eastAsia="Times New Roman" w:cs="Times New Roman"/>
          <w:sz w:val="20"/>
          <w:szCs w:val="20"/>
          <w:spacing w:val="8"/>
        </w:rPr>
        <w:t>A</w:t>
      </w:r>
      <w:r>
        <w:rPr>
          <w:sz w:val="20"/>
          <w:szCs w:val="20"/>
          <w:spacing w:val="8"/>
        </w:rPr>
        <w:t>项；“万邦”时代尚未出现地</w:t>
      </w:r>
      <w:r>
        <w:rPr>
          <w:sz w:val="20"/>
          <w:szCs w:val="20"/>
          <w:spacing w:val="7"/>
        </w:rPr>
        <w:t>缘的行政区划，排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7"/>
        </w:rPr>
        <w:t>除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B </w:t>
      </w:r>
      <w:r>
        <w:rPr>
          <w:sz w:val="20"/>
          <w:szCs w:val="20"/>
          <w:spacing w:val="7"/>
        </w:rPr>
        <w:t>项；“黄帝画野分州传说”不能直接说明地方行政制度的出现，排除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29"/>
        </w:rPr>
        <w:t xml:space="preserve"> </w:t>
      </w:r>
      <w:r>
        <w:rPr>
          <w:sz w:val="20"/>
          <w:szCs w:val="20"/>
          <w:spacing w:val="7"/>
        </w:rPr>
        <w:t>项</w:t>
      </w:r>
      <w:r>
        <w:rPr>
          <w:sz w:val="20"/>
          <w:szCs w:val="20"/>
          <w:spacing w:val="-50"/>
        </w:rPr>
        <w:t xml:space="preserve"> </w:t>
      </w:r>
      <w:r>
        <w:rPr>
          <w:sz w:val="20"/>
          <w:szCs w:val="20"/>
          <w:spacing w:val="7"/>
        </w:rPr>
        <w:t>。</w:t>
      </w:r>
    </w:p>
    <w:p>
      <w:pPr>
        <w:pStyle w:val="BodyText"/>
        <w:ind w:left="1380" w:right="29" w:hanging="1380"/>
        <w:spacing w:before="5" w:line="290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17.A</w:t>
      </w:r>
      <w:r>
        <w:rPr>
          <w:sz w:val="20"/>
          <w:szCs w:val="20"/>
        </w:rPr>
        <w:t>【</w:t>
      </w:r>
      <w:r>
        <w:rPr>
          <w:sz w:val="20"/>
          <w:szCs w:val="20"/>
          <w:spacing w:val="68"/>
        </w:rPr>
        <w:t xml:space="preserve"> </w:t>
      </w:r>
      <w:r>
        <w:rPr>
          <w:sz w:val="20"/>
          <w:szCs w:val="20"/>
        </w:rPr>
        <w:t>解析】材料反映了“官督民办，士绅参与管理，发挥社会基层力量作用，规范借贷，减少营私舞弊</w:t>
      </w:r>
      <w:r>
        <w:rPr>
          <w:sz w:val="20"/>
          <w:szCs w:val="20"/>
          <w:spacing w:val="-1"/>
        </w:rPr>
        <w:t>”,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"/>
        </w:rPr>
        <w:t>故选</w:t>
      </w:r>
      <w:r>
        <w:rPr>
          <w:sz w:val="20"/>
          <w:szCs w:val="20"/>
          <w:spacing w:val="-59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spacing w:val="1"/>
        </w:rPr>
        <w:t>A</w:t>
      </w:r>
      <w:r>
        <w:rPr>
          <w:rFonts w:ascii="Times New Roman" w:hAnsi="Times New Roman" w:eastAsia="Times New Roman" w:cs="Times New Roman"/>
          <w:sz w:val="20"/>
          <w:szCs w:val="20"/>
          <w:spacing w:val="18"/>
        </w:rPr>
        <w:t xml:space="preserve"> </w:t>
      </w:r>
      <w:r>
        <w:rPr>
          <w:sz w:val="20"/>
          <w:szCs w:val="20"/>
          <w:spacing w:val="1"/>
        </w:rPr>
        <w:t>项；社仓是民间组织未能体现出政府的主体作用，排除</w:t>
      </w:r>
      <w:r>
        <w:rPr>
          <w:rFonts w:ascii="Times New Roman" w:hAnsi="Times New Roman" w:eastAsia="Times New Roman" w:cs="Times New Roman"/>
          <w:sz w:val="20"/>
          <w:szCs w:val="20"/>
          <w:spacing w:val="1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spacing w:val="20"/>
        </w:rPr>
        <w:t xml:space="preserve"> </w:t>
      </w:r>
      <w:r>
        <w:rPr>
          <w:sz w:val="20"/>
          <w:szCs w:val="20"/>
          <w:spacing w:val="1"/>
        </w:rPr>
        <w:t>项；材料</w:t>
      </w:r>
      <w:r>
        <w:rPr>
          <w:sz w:val="20"/>
          <w:szCs w:val="20"/>
        </w:rPr>
        <w:t>反映了“官督民办， </w:t>
      </w:r>
      <w:r>
        <w:rPr>
          <w:sz w:val="20"/>
          <w:szCs w:val="20"/>
          <w:spacing w:val="1"/>
        </w:rPr>
        <w:t>士绅参与管理”不能体现出民众的相互监督，排除</w:t>
      </w:r>
      <w:r>
        <w:rPr>
          <w:rFonts w:ascii="Times New Roman" w:hAnsi="Times New Roman" w:eastAsia="Times New Roman" w:cs="Times New Roman"/>
          <w:sz w:val="20"/>
          <w:szCs w:val="20"/>
          <w:spacing w:val="1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33"/>
          <w:w w:val="101"/>
        </w:rPr>
        <w:t xml:space="preserve"> </w:t>
      </w:r>
      <w:r>
        <w:rPr>
          <w:sz w:val="20"/>
          <w:szCs w:val="20"/>
          <w:spacing w:val="1"/>
        </w:rPr>
        <w:t>项；“儒学士人投身基层教化”与材料无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5"/>
        </w:rPr>
        <w:t>关，排除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18"/>
          <w:w w:val="101"/>
        </w:rPr>
        <w:t xml:space="preserve"> </w:t>
      </w:r>
      <w:r>
        <w:rPr>
          <w:sz w:val="20"/>
          <w:szCs w:val="20"/>
          <w:spacing w:val="5"/>
        </w:rPr>
        <w:t>项</w:t>
      </w:r>
      <w:r>
        <w:rPr>
          <w:sz w:val="20"/>
          <w:szCs w:val="20"/>
          <w:spacing w:val="-40"/>
        </w:rPr>
        <w:t xml:space="preserve"> </w:t>
      </w:r>
      <w:r>
        <w:rPr>
          <w:sz w:val="20"/>
          <w:szCs w:val="20"/>
          <w:spacing w:val="5"/>
        </w:rPr>
        <w:t>。</w:t>
      </w:r>
    </w:p>
    <w:p>
      <w:pPr>
        <w:pStyle w:val="BodyText"/>
        <w:ind w:left="1380" w:right="106" w:hanging="1380"/>
        <w:spacing w:before="8" w:line="286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18.B</w:t>
      </w:r>
      <w:r>
        <w:rPr>
          <w:sz w:val="20"/>
          <w:szCs w:val="20"/>
          <w:spacing w:val="10"/>
        </w:rPr>
        <w:t>【</w:t>
      </w:r>
      <w:r>
        <w:rPr>
          <w:sz w:val="20"/>
          <w:szCs w:val="20"/>
          <w:spacing w:val="100"/>
        </w:rPr>
        <w:t xml:space="preserve"> </w:t>
      </w:r>
      <w:r>
        <w:rPr>
          <w:sz w:val="20"/>
          <w:szCs w:val="20"/>
          <w:spacing w:val="10"/>
        </w:rPr>
        <w:t>解析】材料说明当时邮递方式存在着各自的弊端，故选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B </w:t>
      </w:r>
      <w:r>
        <w:rPr>
          <w:sz w:val="20"/>
          <w:szCs w:val="20"/>
          <w:spacing w:val="10"/>
        </w:rPr>
        <w:t>项；材料并未体现交通的改善，排除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A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sz w:val="20"/>
          <w:szCs w:val="20"/>
          <w:spacing w:val="4"/>
        </w:rPr>
        <w:t>项；“传统的驿站体系已失去其存在价值”和“邮递方式具有半殖民地化特征”都只是部分</w:t>
      </w:r>
      <w:r>
        <w:rPr>
          <w:sz w:val="20"/>
          <w:szCs w:val="20"/>
          <w:spacing w:val="7"/>
        </w:rPr>
        <w:t xml:space="preserve"> </w:t>
      </w:r>
      <w:r>
        <w:rPr>
          <w:sz w:val="20"/>
          <w:szCs w:val="20"/>
          <w:spacing w:val="4"/>
        </w:rPr>
        <w:t>反映了材料的问题，排除</w:t>
      </w:r>
      <w:r>
        <w:rPr>
          <w:rFonts w:ascii="Times New Roman" w:hAnsi="Times New Roman" w:eastAsia="Times New Roman" w:cs="Times New Roman"/>
          <w:sz w:val="20"/>
          <w:szCs w:val="20"/>
          <w:spacing w:val="4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-24"/>
        </w:rPr>
        <w:t xml:space="preserve"> </w:t>
      </w:r>
      <w:r>
        <w:rPr>
          <w:sz w:val="20"/>
          <w:szCs w:val="20"/>
          <w:spacing w:val="4"/>
        </w:rPr>
        <w:t>、</w:t>
      </w:r>
      <w:r>
        <w:rPr>
          <w:rFonts w:ascii="Times New Roman" w:hAnsi="Times New Roman" w:eastAsia="Times New Roman" w:cs="Times New Roman"/>
          <w:sz w:val="20"/>
          <w:szCs w:val="20"/>
          <w:spacing w:val="4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50"/>
        </w:rPr>
        <w:t xml:space="preserve"> </w:t>
      </w:r>
      <w:r>
        <w:rPr>
          <w:sz w:val="20"/>
          <w:szCs w:val="20"/>
          <w:spacing w:val="4"/>
        </w:rPr>
        <w:t>项</w:t>
      </w:r>
      <w:r>
        <w:rPr>
          <w:sz w:val="20"/>
          <w:szCs w:val="20"/>
          <w:spacing w:val="-50"/>
        </w:rPr>
        <w:t xml:space="preserve"> </w:t>
      </w:r>
      <w:r>
        <w:rPr>
          <w:sz w:val="20"/>
          <w:szCs w:val="20"/>
          <w:spacing w:val="4"/>
        </w:rPr>
        <w:t>。</w:t>
      </w:r>
    </w:p>
    <w:p>
      <w:pPr>
        <w:pStyle w:val="BodyText"/>
        <w:ind w:left="1380" w:right="121" w:hanging="1380"/>
        <w:spacing w:line="291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9"/>
        </w:rPr>
        <w:t>19.C</w:t>
      </w:r>
      <w:r>
        <w:rPr>
          <w:sz w:val="20"/>
          <w:szCs w:val="20"/>
          <w:spacing w:val="9"/>
        </w:rPr>
        <w:t>【</w:t>
      </w:r>
      <w:r>
        <w:rPr>
          <w:sz w:val="20"/>
          <w:szCs w:val="20"/>
          <w:spacing w:val="79"/>
        </w:rPr>
        <w:t xml:space="preserve"> </w:t>
      </w:r>
      <w:r>
        <w:rPr>
          <w:sz w:val="20"/>
          <w:szCs w:val="20"/>
          <w:spacing w:val="9"/>
        </w:rPr>
        <w:t>解析】据材料可知，阿拉伯数字传入欧洲后代替了罗马数字推动了欧洲大规</w:t>
      </w:r>
      <w:r>
        <w:rPr>
          <w:sz w:val="20"/>
          <w:szCs w:val="20"/>
          <w:spacing w:val="8"/>
        </w:rPr>
        <w:t>模商业的发展，体现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6"/>
        </w:rPr>
        <w:t>了文化的交流和借鉴的历史影响，故选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24"/>
          <w:w w:val="101"/>
        </w:rPr>
        <w:t xml:space="preserve"> </w:t>
      </w:r>
      <w:r>
        <w:rPr>
          <w:sz w:val="20"/>
          <w:szCs w:val="20"/>
          <w:spacing w:val="6"/>
        </w:rPr>
        <w:t>项</w:t>
      </w:r>
      <w:r>
        <w:rPr>
          <w:sz w:val="20"/>
          <w:szCs w:val="20"/>
          <w:spacing w:val="-30"/>
        </w:rPr>
        <w:t xml:space="preserve"> </w:t>
      </w:r>
      <w:r>
        <w:rPr>
          <w:sz w:val="20"/>
          <w:szCs w:val="20"/>
          <w:spacing w:val="6"/>
        </w:rPr>
        <w:t>。</w:t>
      </w:r>
    </w:p>
    <w:p>
      <w:pPr>
        <w:pStyle w:val="BodyText"/>
        <w:ind w:left="1380" w:right="57" w:hanging="1380"/>
        <w:spacing w:before="1" w:line="277" w:lineRule="auto"/>
        <w:rPr>
          <w:sz w:val="20"/>
          <w:szCs w:val="20"/>
        </w:rPr>
      </w:pPr>
      <w:r>
        <w:rPr>
          <w:sz w:val="20"/>
          <w:szCs w:val="20"/>
          <w:spacing w:val="11"/>
        </w:rPr>
        <w:t>20.B【 解析】据地图可知为二战后世界人口迁移，故选B 项；华人“下南洋”出现在明清到民国时期主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  <w:spacing w:val="11"/>
        </w:rPr>
        <w:t>要前往东南亚，苦力贸易出现在19世纪中叶后，排除</w:t>
      </w: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A </w:t>
      </w:r>
      <w:r>
        <w:rPr>
          <w:sz w:val="20"/>
          <w:szCs w:val="20"/>
          <w:spacing w:val="11"/>
        </w:rPr>
        <w:t>项；资本主义世界市场最终形成于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  <w:spacing w:val="11"/>
        </w:rPr>
        <w:t>20世纪初，排除</w:t>
      </w: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37"/>
        </w:rPr>
        <w:t xml:space="preserve"> </w:t>
      </w:r>
      <w:r>
        <w:rPr>
          <w:sz w:val="20"/>
          <w:szCs w:val="20"/>
          <w:spacing w:val="11"/>
        </w:rPr>
        <w:t>项；环球交通网络逐渐形成于新航路开辟后，排除</w:t>
      </w: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19"/>
        </w:rPr>
        <w:t xml:space="preserve"> </w:t>
      </w:r>
      <w:r>
        <w:rPr>
          <w:sz w:val="20"/>
          <w:szCs w:val="20"/>
          <w:spacing w:val="11"/>
        </w:rPr>
        <w:t>项</w:t>
      </w:r>
      <w:r>
        <w:rPr>
          <w:sz w:val="20"/>
          <w:szCs w:val="20"/>
          <w:spacing w:val="-50"/>
        </w:rPr>
        <w:t xml:space="preserve"> </w:t>
      </w:r>
      <w:r>
        <w:rPr>
          <w:sz w:val="20"/>
          <w:szCs w:val="20"/>
          <w:spacing w:val="11"/>
        </w:rPr>
        <w:t>。</w:t>
      </w:r>
    </w:p>
    <w:p>
      <w:pPr>
        <w:pStyle w:val="BodyText"/>
        <w:ind w:left="1380" w:right="52" w:hanging="1380"/>
        <w:spacing w:before="27" w:line="280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21.C</w:t>
      </w:r>
      <w:r>
        <w:rPr>
          <w:sz w:val="20"/>
          <w:szCs w:val="20"/>
          <w:spacing w:val="11"/>
        </w:rPr>
        <w:t>【  解析】据材料可知，美国1870—1950年增长率高于英国、法国</w:t>
      </w:r>
      <w:r>
        <w:rPr>
          <w:sz w:val="20"/>
          <w:szCs w:val="20"/>
          <w:spacing w:val="10"/>
        </w:rPr>
        <w:t>和德国，故选</w:t>
      </w:r>
      <w:r>
        <w:rPr>
          <w:rFonts w:ascii="Times New Roman" w:hAnsi="Times New Roman" w:eastAsia="Times New Roman" w:cs="Times New Roman"/>
          <w:sz w:val="20"/>
          <w:szCs w:val="20"/>
          <w:spacing w:val="10"/>
        </w:rPr>
        <w:t>C</w:t>
      </w:r>
      <w:r>
        <w:rPr>
          <w:rFonts w:ascii="Times New Roman" w:hAnsi="Times New Roman" w:eastAsia="Times New Roman" w:cs="Times New Roman"/>
          <w:sz w:val="20"/>
          <w:szCs w:val="20"/>
          <w:spacing w:val="34"/>
          <w:w w:val="101"/>
        </w:rPr>
        <w:t xml:space="preserve"> </w:t>
      </w:r>
      <w:r>
        <w:rPr>
          <w:sz w:val="20"/>
          <w:szCs w:val="20"/>
          <w:spacing w:val="10"/>
        </w:rPr>
        <w:t>项；四国中英国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spacing w:val="12"/>
        </w:rPr>
        <w:t>1950—1970年并未高速增长，排除</w:t>
      </w:r>
      <w:r>
        <w:rPr>
          <w:rFonts w:ascii="Times New Roman" w:hAnsi="Times New Roman" w:eastAsia="Times New Roman" w:cs="Times New Roman"/>
          <w:sz w:val="20"/>
          <w:szCs w:val="20"/>
          <w:spacing w:val="12"/>
        </w:rPr>
        <w:t>A </w:t>
      </w:r>
      <w:r>
        <w:rPr>
          <w:sz w:val="20"/>
          <w:szCs w:val="20"/>
          <w:spacing w:val="12"/>
        </w:rPr>
        <w:t>项；法国和德国1950—1960年高增长是多种因素的</w:t>
      </w:r>
      <w:r>
        <w:rPr>
          <w:sz w:val="20"/>
          <w:szCs w:val="20"/>
          <w:spacing w:val="8"/>
        </w:rPr>
        <w:t xml:space="preserve">  </w:t>
      </w:r>
      <w:r>
        <w:rPr>
          <w:sz w:val="20"/>
          <w:szCs w:val="20"/>
          <w:spacing w:val="11"/>
        </w:rPr>
        <w:t>结果特别是强化国家干预，排除</w:t>
      </w:r>
      <w:r>
        <w:rPr>
          <w:rFonts w:ascii="Times New Roman" w:hAnsi="Times New Roman" w:eastAsia="Times New Roman" w:cs="Times New Roman"/>
          <w:sz w:val="20"/>
          <w:szCs w:val="20"/>
          <w:spacing w:val="11"/>
        </w:rPr>
        <w:t>B</w:t>
      </w:r>
      <w:r>
        <w:rPr>
          <w:rFonts w:ascii="Times New Roman" w:hAnsi="Times New Roman" w:eastAsia="Times New Roman" w:cs="Times New Roman"/>
          <w:sz w:val="20"/>
          <w:szCs w:val="20"/>
          <w:spacing w:val="20"/>
          <w:w w:val="101"/>
        </w:rPr>
        <w:t xml:space="preserve"> </w:t>
      </w:r>
      <w:r>
        <w:rPr>
          <w:sz w:val="20"/>
          <w:szCs w:val="20"/>
          <w:spacing w:val="11"/>
        </w:rPr>
        <w:t>项；英国1950—1970增长缓慢</w:t>
      </w:r>
      <w:r>
        <w:rPr>
          <w:sz w:val="20"/>
          <w:szCs w:val="20"/>
          <w:spacing w:val="10"/>
        </w:rPr>
        <w:t>与二战严重削弱英国实力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5"/>
        </w:rPr>
        <w:t>密切相关，排除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D</w:t>
      </w:r>
      <w:r>
        <w:rPr>
          <w:rFonts w:ascii="Times New Roman" w:hAnsi="Times New Roman" w:eastAsia="Times New Roman" w:cs="Times New Roman"/>
          <w:sz w:val="20"/>
          <w:szCs w:val="20"/>
          <w:spacing w:val="33"/>
          <w:w w:val="101"/>
        </w:rPr>
        <w:t xml:space="preserve"> </w:t>
      </w:r>
      <w:r>
        <w:rPr>
          <w:sz w:val="20"/>
          <w:szCs w:val="20"/>
          <w:spacing w:val="5"/>
        </w:rPr>
        <w:t>项</w:t>
      </w:r>
      <w:r>
        <w:rPr>
          <w:sz w:val="20"/>
          <w:szCs w:val="20"/>
          <w:spacing w:val="-40"/>
        </w:rPr>
        <w:t xml:space="preserve"> </w:t>
      </w:r>
      <w:r>
        <w:rPr>
          <w:sz w:val="20"/>
          <w:szCs w:val="20"/>
          <w:spacing w:val="5"/>
        </w:rPr>
        <w:t>。</w:t>
      </w:r>
    </w:p>
    <w:p>
      <w:pPr>
        <w:pStyle w:val="BodyText"/>
        <w:ind w:left="439" w:right="61" w:hanging="437"/>
        <w:spacing w:before="57" w:line="248" w:lineRule="auto"/>
        <w:rPr>
          <w:sz w:val="20"/>
          <w:szCs w:val="20"/>
        </w:rPr>
      </w:pPr>
      <w:r>
        <w:rPr>
          <w:sz w:val="20"/>
          <w:szCs w:val="20"/>
          <w:b/>
          <w:bCs/>
          <w:spacing w:val="30"/>
        </w:rPr>
        <w:t>三</w:t>
      </w:r>
      <w:r>
        <w:rPr>
          <w:sz w:val="20"/>
          <w:szCs w:val="20"/>
          <w:spacing w:val="-49"/>
        </w:rPr>
        <w:t xml:space="preserve"> </w:t>
      </w:r>
      <w:r>
        <w:rPr>
          <w:sz w:val="20"/>
          <w:szCs w:val="20"/>
          <w:b/>
          <w:bCs/>
          <w:spacing w:val="30"/>
        </w:rPr>
        <w:t>、非选择题</w:t>
      </w:r>
      <w:r>
        <w:rPr>
          <w:sz w:val="20"/>
          <w:szCs w:val="20"/>
          <w:spacing w:val="30"/>
        </w:rPr>
        <w:t>(本大题共4小题，其中第22题20分，第23题7分，第24题13分，第25题12分，共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28"/>
        </w:rPr>
        <w:t>52分)</w:t>
      </w:r>
    </w:p>
    <w:p>
      <w:pPr>
        <w:pStyle w:val="BodyText"/>
        <w:ind w:left="860" w:right="42" w:hanging="860"/>
        <w:spacing w:before="53" w:line="282" w:lineRule="auto"/>
        <w:rPr>
          <w:sz w:val="20"/>
          <w:szCs w:val="20"/>
        </w:rPr>
      </w:pPr>
      <w:r>
        <w:rPr>
          <w:sz w:val="20"/>
          <w:szCs w:val="20"/>
          <w:spacing w:val="8"/>
        </w:rPr>
        <w:t>22.</w:t>
      </w:r>
      <w:r>
        <w:rPr>
          <w:sz w:val="20"/>
          <w:szCs w:val="20"/>
          <w:spacing w:val="-36"/>
        </w:rPr>
        <w:t xml:space="preserve"> </w:t>
      </w:r>
      <w:r>
        <w:rPr>
          <w:sz w:val="20"/>
          <w:szCs w:val="20"/>
          <w:spacing w:val="8"/>
        </w:rPr>
        <w:t>(1)原因：全球性经济危机的影响；“九一八”事变后失去东北市场；美国《购银法案》导致中国白银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6"/>
        </w:rPr>
        <w:t>大量外流；出现严重的通货紧缩。(3分，任答3点)</w:t>
      </w:r>
    </w:p>
    <w:p>
      <w:pPr>
        <w:pStyle w:val="BodyText"/>
        <w:ind w:left="860" w:right="38"/>
        <w:spacing w:before="19" w:line="283" w:lineRule="auto"/>
        <w:rPr>
          <w:sz w:val="20"/>
          <w:szCs w:val="20"/>
        </w:rPr>
      </w:pPr>
      <w:r>
        <w:rPr>
          <w:sz w:val="20"/>
          <w:szCs w:val="20"/>
          <w:spacing w:val="10"/>
        </w:rPr>
        <w:t>影响：银本位制转变为金本位制；增强了英国和美</w:t>
      </w:r>
      <w:r>
        <w:rPr>
          <w:sz w:val="20"/>
          <w:szCs w:val="20"/>
          <w:spacing w:val="9"/>
        </w:rPr>
        <w:t>国对中国经济的影响力；日本发动全面侵华战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20"/>
        </w:rPr>
        <w:t>争。(3分)</w:t>
      </w:r>
    </w:p>
    <w:p>
      <w:pPr>
        <w:pStyle w:val="BodyText"/>
        <w:ind w:left="3570"/>
        <w:spacing w:before="108" w:line="219" w:lineRule="auto"/>
        <w:rPr>
          <w:sz w:val="20"/>
          <w:szCs w:val="20"/>
        </w:rPr>
      </w:pPr>
      <w:r>
        <w:rPr>
          <w:sz w:val="20"/>
          <w:szCs w:val="20"/>
          <w:spacing w:val="6"/>
        </w:rPr>
        <w:t>高三历史答案第2页(共3页)</w:t>
      </w:r>
    </w:p>
    <w:p>
      <w:pPr>
        <w:spacing w:line="219" w:lineRule="auto"/>
        <w:sectPr>
          <w:pgSz w:w="11910" w:h="16840"/>
          <w:pgMar w:top="1178" w:right="1100" w:bottom="0" w:left="1110" w:header="0" w:footer="0" w:gutter="0"/>
        </w:sectPr>
        <w:rPr>
          <w:sz w:val="20"/>
          <w:szCs w:val="20"/>
        </w:rPr>
      </w:pPr>
    </w:p>
    <w:p>
      <w:pPr>
        <w:pStyle w:val="BodyText"/>
        <w:ind w:left="429"/>
        <w:spacing w:before="39" w:line="219" w:lineRule="auto"/>
        <w:rPr>
          <w:sz w:val="20"/>
          <w:szCs w:val="20"/>
        </w:rPr>
      </w:pPr>
      <w:r>
        <w:rPr>
          <w:sz w:val="20"/>
          <w:szCs w:val="20"/>
          <w:spacing w:val="14"/>
        </w:rPr>
        <w:t>(2)举措：设立华北财经办事处；成立华北人民</w:t>
      </w:r>
      <w:r>
        <w:rPr>
          <w:sz w:val="20"/>
          <w:szCs w:val="20"/>
          <w:spacing w:val="13"/>
        </w:rPr>
        <w:t>政府；中国人民银行正式挂牌。(3分)</w:t>
      </w:r>
    </w:p>
    <w:p>
      <w:pPr>
        <w:pStyle w:val="BodyText"/>
        <w:ind w:left="850" w:right="64"/>
        <w:spacing w:before="83" w:line="264" w:lineRule="auto"/>
        <w:rPr>
          <w:sz w:val="20"/>
          <w:szCs w:val="20"/>
        </w:rPr>
      </w:pPr>
      <w:r>
        <w:rPr>
          <w:sz w:val="20"/>
          <w:szCs w:val="20"/>
          <w:spacing w:val="9"/>
        </w:rPr>
        <w:t>意义：加快了人民解放战争胜利的进程；巩固了新兴的人民政权；加速了国民政府经济的崩溃和</w:t>
      </w:r>
      <w:r>
        <w:rPr>
          <w:sz w:val="20"/>
          <w:szCs w:val="20"/>
          <w:spacing w:val="16"/>
        </w:rPr>
        <w:t xml:space="preserve"> </w:t>
      </w:r>
      <w:r>
        <w:rPr>
          <w:sz w:val="20"/>
          <w:szCs w:val="20"/>
          <w:spacing w:val="13"/>
        </w:rPr>
        <w:t>政权的瓦解；为新中国成立打下了坚实的</w:t>
      </w:r>
      <w:r>
        <w:rPr>
          <w:sz w:val="20"/>
          <w:szCs w:val="20"/>
          <w:spacing w:val="12"/>
        </w:rPr>
        <w:t>物质基础。(4分)</w:t>
      </w:r>
    </w:p>
    <w:p>
      <w:pPr>
        <w:pStyle w:val="BodyText"/>
        <w:ind w:left="849" w:right="68" w:hanging="420"/>
        <w:spacing w:before="37" w:line="291" w:lineRule="auto"/>
        <w:rPr>
          <w:sz w:val="20"/>
          <w:szCs w:val="20"/>
        </w:rPr>
      </w:pPr>
      <w:r>
        <w:rPr>
          <w:sz w:val="20"/>
          <w:szCs w:val="20"/>
          <w:spacing w:val="11"/>
        </w:rPr>
        <w:t>(3)成因：世界经济格局多极化；地缘政治冲突加剧；数字技术冲击；美国美元霸权；全球性的金融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  <w:spacing w:val="25"/>
        </w:rPr>
        <w:t>危机。(4分，任答4点)</w:t>
      </w:r>
    </w:p>
    <w:p>
      <w:pPr>
        <w:pStyle w:val="BodyText"/>
        <w:ind w:left="850" w:right="71"/>
        <w:spacing w:before="1" w:line="281" w:lineRule="auto"/>
        <w:rPr>
          <w:sz w:val="20"/>
          <w:szCs w:val="20"/>
        </w:rPr>
      </w:pPr>
      <w:r>
        <w:rPr>
          <w:sz w:val="20"/>
          <w:szCs w:val="20"/>
          <w:spacing w:val="9"/>
        </w:rPr>
        <w:t>认识：得民心者得天下；综合国力决定一国货币的国际地位；要深化改革、坚持开放；要顺应经 </w:t>
      </w:r>
      <w:r>
        <w:rPr>
          <w:sz w:val="20"/>
          <w:szCs w:val="20"/>
          <w:spacing w:val="11"/>
        </w:rPr>
        <w:t>济全球化的潮流； 一国货币的发展受国际政治经济的影响等。(3分，任答3点)</w:t>
      </w:r>
    </w:p>
    <w:p>
      <w:pPr>
        <w:pStyle w:val="BodyText"/>
        <w:spacing w:before="20" w:line="219" w:lineRule="auto"/>
        <w:rPr>
          <w:sz w:val="20"/>
          <w:szCs w:val="20"/>
        </w:rPr>
      </w:pPr>
      <w:r>
        <w:rPr>
          <w:sz w:val="20"/>
          <w:szCs w:val="20"/>
          <w:spacing w:val="22"/>
        </w:rPr>
        <w:t>23.观点：三文化广场展现了墨西哥历史文化的时代性(多元性)和包容性(2分)</w:t>
      </w:r>
    </w:p>
    <w:p>
      <w:pPr>
        <w:pStyle w:val="BodyText"/>
        <w:ind w:right="67" w:firstLine="429"/>
        <w:spacing w:before="62" w:line="280" w:lineRule="auto"/>
        <w:jc w:val="both"/>
        <w:rPr>
          <w:sz w:val="20"/>
          <w:szCs w:val="20"/>
        </w:rPr>
      </w:pPr>
      <w:r>
        <w:rPr>
          <w:sz w:val="20"/>
          <w:szCs w:val="20"/>
          <w:spacing w:val="9"/>
        </w:rPr>
        <w:t>时代性：阿兹特克金字塔大神庙代表了古代印第安文明，西班牙殖民者修建的教堂代表了殖民地时期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  <w:spacing w:val="11"/>
        </w:rPr>
        <w:t>的文化，而墨西哥外交部大厦则代表了现代文化。(2分)三文化广场体现了墨西哥不同时期的文化特色和</w:t>
      </w:r>
      <w:r>
        <w:rPr>
          <w:sz w:val="20"/>
          <w:szCs w:val="20"/>
          <w:spacing w:val="7"/>
        </w:rPr>
        <w:t xml:space="preserve"> </w:t>
      </w:r>
      <w:r>
        <w:rPr>
          <w:sz w:val="20"/>
          <w:szCs w:val="20"/>
          <w:spacing w:val="14"/>
        </w:rPr>
        <w:t>历史变迁，也是研究墨西哥人口迁徙历史发展(或拉丁美洲</w:t>
      </w:r>
      <w:r>
        <w:rPr>
          <w:sz w:val="20"/>
          <w:szCs w:val="20"/>
          <w:spacing w:val="13"/>
        </w:rPr>
        <w:t>族群变化或美洲移民)的重要史料。(1分，任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-12"/>
        </w:rPr>
        <w:t>答 1</w:t>
      </w:r>
      <w:r>
        <w:rPr>
          <w:sz w:val="20"/>
          <w:szCs w:val="20"/>
          <w:spacing w:val="-15"/>
        </w:rPr>
        <w:t xml:space="preserve"> </w:t>
      </w:r>
      <w:r>
        <w:rPr>
          <w:sz w:val="20"/>
          <w:szCs w:val="20"/>
          <w:spacing w:val="-12"/>
        </w:rPr>
        <w:t>点</w:t>
      </w:r>
      <w:r>
        <w:rPr>
          <w:sz w:val="20"/>
          <w:szCs w:val="20"/>
          <w:spacing w:val="-24"/>
        </w:rPr>
        <w:t xml:space="preserve"> </w:t>
      </w:r>
      <w:r>
        <w:rPr>
          <w:sz w:val="20"/>
          <w:szCs w:val="20"/>
          <w:spacing w:val="-12"/>
        </w:rPr>
        <w:t>)</w:t>
      </w:r>
    </w:p>
    <w:p>
      <w:pPr>
        <w:pStyle w:val="BodyText"/>
        <w:ind w:right="51" w:firstLine="429"/>
        <w:spacing w:before="47" w:line="273" w:lineRule="auto"/>
        <w:rPr>
          <w:sz w:val="20"/>
          <w:szCs w:val="20"/>
        </w:rPr>
      </w:pPr>
      <w:r>
        <w:rPr>
          <w:sz w:val="20"/>
          <w:szCs w:val="20"/>
          <w:spacing w:val="10"/>
        </w:rPr>
        <w:t>包容性：三文化广场体现了历史与现实的结合、本土文化与外来文化的</w:t>
      </w:r>
      <w:r>
        <w:rPr>
          <w:sz w:val="20"/>
          <w:szCs w:val="20"/>
          <w:spacing w:val="9"/>
        </w:rPr>
        <w:t>结合；铭记历史、包容发展体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4"/>
        </w:rPr>
        <w:t>现了墨西哥发展进程中民族与文化认同；也体现了不同文化交融的过程等。(2分，任答1点)</w:t>
      </w:r>
    </w:p>
    <w:p>
      <w:pPr>
        <w:pStyle w:val="BodyText"/>
        <w:spacing w:before="27" w:line="219" w:lineRule="auto"/>
        <w:rPr>
          <w:sz w:val="20"/>
          <w:szCs w:val="20"/>
        </w:rPr>
      </w:pPr>
      <w:r>
        <w:rPr>
          <w:sz w:val="20"/>
          <w:szCs w:val="20"/>
          <w:spacing w:val="13"/>
        </w:rPr>
        <w:t>24.</w:t>
      </w:r>
      <w:r>
        <w:rPr>
          <w:sz w:val="20"/>
          <w:szCs w:val="20"/>
          <w:spacing w:val="-42"/>
        </w:rPr>
        <w:t xml:space="preserve"> </w:t>
      </w:r>
      <w:r>
        <w:rPr>
          <w:sz w:val="20"/>
          <w:szCs w:val="20"/>
          <w:spacing w:val="13"/>
        </w:rPr>
        <w:t>(1)“重大变化”:传统茶马贸易走向衰落；国内外茶叶</w:t>
      </w:r>
      <w:r>
        <w:rPr>
          <w:sz w:val="20"/>
          <w:szCs w:val="20"/>
          <w:spacing w:val="12"/>
        </w:rPr>
        <w:t>市场发展。(2分)</w:t>
      </w:r>
    </w:p>
    <w:p>
      <w:pPr>
        <w:pStyle w:val="BodyText"/>
        <w:ind w:left="969"/>
        <w:spacing w:before="64" w:line="219" w:lineRule="auto"/>
        <w:rPr>
          <w:sz w:val="20"/>
          <w:szCs w:val="20"/>
        </w:rPr>
      </w:pPr>
      <w:r>
        <w:rPr>
          <w:sz w:val="20"/>
          <w:szCs w:val="20"/>
          <w:spacing w:val="14"/>
        </w:rPr>
        <w:t>影响：农产品商品化加快；带动工商业市镇的发展；地域性商帮的兴盛。(2分，任答2点)</w:t>
      </w:r>
    </w:p>
    <w:p>
      <w:pPr>
        <w:pStyle w:val="BodyText"/>
        <w:ind w:left="969" w:right="68"/>
        <w:spacing w:before="82" w:line="283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主要外因：印度和锡兰茶叶的竞争；海上交</w:t>
      </w:r>
      <w:r>
        <w:rPr>
          <w:sz w:val="20"/>
          <w:szCs w:val="20"/>
          <w:spacing w:val="11"/>
        </w:rPr>
        <w:t>通的便捷和通讯系统的快捷，改变了茶叶的供求市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3"/>
        </w:rPr>
        <w:t>场；工业革命影响了茶叶的生产方式。(3分)</w:t>
      </w:r>
    </w:p>
    <w:p>
      <w:pPr>
        <w:pStyle w:val="BodyText"/>
        <w:ind w:left="969" w:right="50" w:hanging="419"/>
        <w:spacing w:before="6" w:line="287" w:lineRule="auto"/>
        <w:rPr>
          <w:sz w:val="20"/>
          <w:szCs w:val="20"/>
        </w:rPr>
      </w:pPr>
      <w:r>
        <w:rPr>
          <w:sz w:val="20"/>
          <w:szCs w:val="20"/>
          <w:spacing w:val="14"/>
        </w:rPr>
        <w:t>(2)有利条件：联合国等国际组织的建立；和平与发展成为时代潮流；世界殖民</w:t>
      </w:r>
      <w:r>
        <w:rPr>
          <w:sz w:val="20"/>
          <w:szCs w:val="20"/>
          <w:spacing w:val="13"/>
        </w:rPr>
        <w:t>体系的瓦解；经济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4"/>
        </w:rPr>
        <w:t>全球化的机遇；发展中国家之间的合作(发展中</w:t>
      </w:r>
      <w:r>
        <w:rPr>
          <w:sz w:val="20"/>
          <w:szCs w:val="20"/>
          <w:spacing w:val="13"/>
        </w:rPr>
        <w:t>国家争取国际政治经济新秩序);世界格局多极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23"/>
        </w:rPr>
        <w:t>化趋势。(4分，任答4点)</w:t>
      </w:r>
    </w:p>
    <w:p>
      <w:pPr>
        <w:pStyle w:val="BodyText"/>
        <w:ind w:right="2666" w:firstLine="969"/>
        <w:spacing w:before="20" w:line="283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主要表现：少数发达国家主导；全球收入不平等现象加剧。(2分) </w:t>
      </w:r>
      <w:r>
        <w:rPr>
          <w:sz w:val="20"/>
          <w:szCs w:val="20"/>
          <w:spacing w:val="18"/>
        </w:rPr>
        <w:t>25</w:t>
      </w:r>
      <w:r>
        <w:rPr>
          <w:sz w:val="20"/>
          <w:szCs w:val="20"/>
          <w:spacing w:val="-57"/>
        </w:rPr>
        <w:t xml:space="preserve"> </w:t>
      </w:r>
      <w:r>
        <w:rPr>
          <w:sz w:val="20"/>
          <w:szCs w:val="20"/>
          <w:spacing w:val="18"/>
        </w:rPr>
        <w:t>.标题：2分</w:t>
      </w:r>
    </w:p>
    <w:p>
      <w:pPr>
        <w:pStyle w:val="BodyText"/>
        <w:ind w:left="429"/>
        <w:spacing w:before="37" w:line="220" w:lineRule="auto"/>
        <w:rPr>
          <w:sz w:val="20"/>
          <w:szCs w:val="20"/>
        </w:rPr>
      </w:pPr>
      <w:r>
        <w:rPr>
          <w:sz w:val="20"/>
          <w:szCs w:val="20"/>
          <w:spacing w:val="21"/>
        </w:rPr>
        <w:t>结构：2分</w:t>
      </w:r>
    </w:p>
    <w:p>
      <w:pPr>
        <w:pStyle w:val="BodyText"/>
        <w:ind w:left="429" w:right="7871"/>
        <w:spacing w:before="41" w:line="292" w:lineRule="auto"/>
        <w:rPr>
          <w:sz w:val="20"/>
          <w:szCs w:val="20"/>
        </w:rPr>
      </w:pPr>
      <w:r>
        <w:rPr>
          <w:sz w:val="20"/>
          <w:szCs w:val="20"/>
          <w:spacing w:val="15"/>
        </w:rPr>
        <w:t>史论结合：6分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  <w:spacing w:val="21"/>
        </w:rPr>
        <w:t>表述：1分</w:t>
      </w:r>
    </w:p>
    <w:p>
      <w:pPr>
        <w:pStyle w:val="BodyText"/>
        <w:ind w:left="429"/>
        <w:spacing w:before="8" w:line="220" w:lineRule="auto"/>
        <w:rPr>
          <w:sz w:val="20"/>
          <w:szCs w:val="20"/>
        </w:rPr>
      </w:pPr>
      <w:r>
        <w:rPr>
          <w:sz w:val="20"/>
          <w:szCs w:val="20"/>
          <w:spacing w:val="21"/>
        </w:rPr>
        <w:t>升华：1分</w:t>
      </w:r>
    </w:p>
    <w:p>
      <w:pPr>
        <w:pStyle w:val="BodyText"/>
        <w:spacing w:before="49" w:line="219" w:lineRule="auto"/>
        <w:rPr>
          <w:sz w:val="20"/>
          <w:szCs w:val="20"/>
        </w:rPr>
      </w:pPr>
      <w:r>
        <w:rPr>
          <w:sz w:val="20"/>
          <w:szCs w:val="20"/>
          <w:spacing w:val="13"/>
        </w:rPr>
        <w:t>示例1:春秋战国时期社会转型是由其内在矛盾推动的</w:t>
      </w:r>
      <w:r>
        <w:rPr>
          <w:sz w:val="20"/>
          <w:szCs w:val="20"/>
          <w:spacing w:val="12"/>
        </w:rPr>
        <w:t>结果。</w:t>
      </w:r>
    </w:p>
    <w:p>
      <w:pPr>
        <w:pStyle w:val="BodyText"/>
        <w:ind w:firstLine="429"/>
        <w:spacing w:before="62" w:line="281" w:lineRule="auto"/>
        <w:jc w:val="both"/>
        <w:rPr>
          <w:sz w:val="20"/>
          <w:szCs w:val="20"/>
        </w:rPr>
      </w:pPr>
      <w:r>
        <w:rPr>
          <w:sz w:val="20"/>
          <w:szCs w:val="20"/>
          <w:spacing w:val="9"/>
        </w:rPr>
        <w:t>春秋战国时期，铁器的使用和牛耕的推广，生产力显著提高，井田制瓦解，封建土地私有制出现，个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  <w:spacing w:val="7"/>
        </w:rPr>
        <w:t>体家庭式劳作方式出现，自给自足的小农经济形成。这一时期</w:t>
      </w:r>
      <w:r>
        <w:rPr>
          <w:sz w:val="20"/>
          <w:szCs w:val="20"/>
          <w:spacing w:val="6"/>
        </w:rPr>
        <w:t>王室衰微，诸侯争霸，分封制、宗法制瓦解，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贵族政治向官僚政治转化，新兴的士阶层崛起。各民</w:t>
      </w:r>
      <w:r>
        <w:rPr>
          <w:sz w:val="20"/>
          <w:szCs w:val="20"/>
          <w:spacing w:val="9"/>
        </w:rPr>
        <w:t>族交往交融，产生了华夏认同观念。私学兴起，文化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下移，平民有接受教育的机会。这时期出现了第一次思想解放</w:t>
      </w:r>
      <w:r>
        <w:rPr>
          <w:sz w:val="20"/>
          <w:szCs w:val="20"/>
          <w:spacing w:val="9"/>
        </w:rPr>
        <w:t>运动“百家争鸣”,为地主阶级登上历史舞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spacing w:val="9"/>
        </w:rPr>
        <w:t>台奠定思想理论基础，构造了中华民族传统文化的基本精神，成为后世</w:t>
      </w:r>
      <w:r>
        <w:rPr>
          <w:sz w:val="20"/>
          <w:szCs w:val="20"/>
          <w:spacing w:val="8"/>
        </w:rPr>
        <w:t>思想文化发展的源头。</w:t>
      </w:r>
    </w:p>
    <w:p>
      <w:pPr>
        <w:pStyle w:val="BodyText"/>
        <w:ind w:right="71" w:firstLine="429"/>
        <w:spacing w:before="40" w:line="282" w:lineRule="auto"/>
        <w:rPr>
          <w:sz w:val="20"/>
          <w:szCs w:val="20"/>
        </w:rPr>
      </w:pPr>
      <w:r>
        <w:rPr>
          <w:sz w:val="20"/>
          <w:szCs w:val="20"/>
          <w:spacing w:val="9"/>
        </w:rPr>
        <w:t>这种内在的变革体现在价值系统上，带来传统与现实、新与旧的纷争。在纷争过程中，新生力量不断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  <w:spacing w:val="8"/>
        </w:rPr>
        <w:t>增强，实现了从奴隶社会向封建社会的过渡。</w:t>
      </w:r>
    </w:p>
    <w:p>
      <w:pPr>
        <w:pStyle w:val="BodyText"/>
        <w:spacing w:before="8" w:line="219" w:lineRule="auto"/>
        <w:rPr>
          <w:sz w:val="20"/>
          <w:szCs w:val="20"/>
        </w:rPr>
      </w:pPr>
      <w:r>
        <w:rPr>
          <w:sz w:val="20"/>
          <w:szCs w:val="20"/>
          <w:spacing w:val="17"/>
        </w:rPr>
        <w:t>示例2:明清传统向近代逐渐转型的初曙</w:t>
      </w:r>
    </w:p>
    <w:p>
      <w:pPr>
        <w:pStyle w:val="BodyText"/>
        <w:ind w:right="62" w:firstLine="429"/>
        <w:spacing w:before="71" w:line="282" w:lineRule="auto"/>
        <w:jc w:val="both"/>
        <w:rPr>
          <w:sz w:val="20"/>
          <w:szCs w:val="20"/>
        </w:rPr>
      </w:pPr>
      <w:r>
        <w:rPr>
          <w:sz w:val="20"/>
          <w:szCs w:val="20"/>
          <w:spacing w:val="9"/>
        </w:rPr>
        <w:t>明清时期，中原以外的东北、蒙古、新疆、西藏等地区重新纳入中原王朝的有效管辖之下，基本奠定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  <w:spacing w:val="9"/>
        </w:rPr>
        <w:t>了现代中国的版图，多元一体特征更加明显。《中俄尼布楚条约》也表明国家观念日益清晰，对外关系开</w:t>
      </w:r>
      <w:r>
        <w:rPr>
          <w:sz w:val="20"/>
          <w:szCs w:val="20"/>
          <w:spacing w:val="3"/>
        </w:rPr>
        <w:t xml:space="preserve"> </w:t>
      </w:r>
      <w:r>
        <w:rPr>
          <w:sz w:val="20"/>
          <w:szCs w:val="20"/>
          <w:spacing w:val="16"/>
        </w:rPr>
        <w:t>始缓慢转型。这一时期经济发展、人口增长，并出现资本主义萌芽(手工工场和雇佣关系),白银货币经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  <w:spacing w:val="14"/>
        </w:rPr>
        <w:t>济规模庞大，中国与世界经济联系增强。文化科技上，传统思想文化出现“集大成”特点(总结性)的同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  <w:spacing w:val="10"/>
        </w:rPr>
        <w:t>时，西方科学知识的传入促使中国在数学、天文、地理</w:t>
      </w:r>
      <w:r>
        <w:rPr>
          <w:sz w:val="20"/>
          <w:szCs w:val="20"/>
          <w:spacing w:val="9"/>
        </w:rPr>
        <w:t>测绘等方面取得新成就。同时，中华文明也进一步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9"/>
        </w:rPr>
        <w:t>在欧洲传播，中国传统的丝、茶、瓷器在欧洲各国一度引领时尚，中国的制度也受到西方思想家追捧。</w:t>
      </w:r>
    </w:p>
    <w:p>
      <w:pPr>
        <w:pStyle w:val="BodyText"/>
        <w:ind w:right="71" w:firstLine="429"/>
        <w:spacing w:before="40" w:line="301" w:lineRule="auto"/>
        <w:rPr>
          <w:sz w:val="20"/>
          <w:szCs w:val="20"/>
        </w:rPr>
      </w:pPr>
      <w:r>
        <w:rPr>
          <w:sz w:val="20"/>
          <w:szCs w:val="20"/>
          <w:spacing w:val="9"/>
        </w:rPr>
        <w:t>整体而言，中华文明在这一时期呈现出由传统向近代逐渐转型的初曙，也为整个人类文明的发展带来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  <w:spacing w:val="9"/>
        </w:rPr>
        <w:t>一抹亮丽。</w:t>
      </w:r>
    </w:p>
    <w:p>
      <w:pPr>
        <w:spacing w:line="309" w:lineRule="auto"/>
        <w:rPr>
          <w:rFonts w:ascii="Arial"/>
          <w:sz w:val="21"/>
        </w:rPr>
      </w:pPr>
      <w:r/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ind w:left="3570"/>
        <w:spacing w:before="65" w:line="219" w:lineRule="auto"/>
        <w:rPr>
          <w:sz w:val="20"/>
          <w:szCs w:val="20"/>
        </w:rPr>
      </w:pPr>
      <w:r>
        <w:rPr>
          <w:sz w:val="20"/>
          <w:szCs w:val="20"/>
          <w:spacing w:val="7"/>
        </w:rPr>
        <w:t>高三历史答案第3页(共3页)</w:t>
      </w:r>
    </w:p>
    <w:sectPr>
      <w:pgSz w:w="11910" w:h="16840"/>
      <w:pgMar w:top="1167" w:right="1099" w:bottom="0" w:left="110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2024-10-11T10:05:11Z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2024-10-11T10:05:12</vt:filetime>
  </property>
  <property fmtid="{D5CDD505-2E9C-101B-9397-08002B2CF9AE}" pid="4" name="UsrData">
    <vt:lpwstr>670887d33a043f001fa34cd3wl</vt:lpwstr>
  </property>
</Properties>
</file>