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A1DC2AC">
      <w:pPr>
        <w:widowControl/>
        <w:spacing w:line="288" w:lineRule="auto"/>
        <w:jc w:val="center"/>
        <w:rPr>
          <w:rFonts w:ascii="Times New Roman" w:hAnsi="Times New Roman" w:eastAsia="黑体"/>
          <w:sz w:val="32"/>
          <w:szCs w:val="32"/>
        </w:rPr>
      </w:pPr>
      <w:r>
        <w:rPr>
          <w:rFonts w:hint="eastAsia" w:ascii="Times New Roman" w:hAnsi="Times New Roman" w:eastAsia="黑体"/>
          <w:sz w:val="32"/>
          <w:szCs w:val="32"/>
        </w:rPr>
        <w:drawing>
          <wp:anchor distT="0" distB="0" distL="114300" distR="114300" simplePos="0" relativeHeight="251659264" behindDoc="0" locked="0" layoutInCell="1" allowOverlap="1">
            <wp:simplePos x="0" y="0"/>
            <wp:positionH relativeFrom="page">
              <wp:posOffset>11417300</wp:posOffset>
            </wp:positionH>
            <wp:positionV relativeFrom="topMargin">
              <wp:posOffset>12242800</wp:posOffset>
            </wp:positionV>
            <wp:extent cx="406400" cy="393700"/>
            <wp:effectExtent l="0" t="0" r="12700" b="6350"/>
            <wp:wrapNone/>
            <wp:docPr id="100017" name="图片 100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pic:cNvPicPr>
                      <a:picLocks noChangeAspect="1"/>
                    </pic:cNvPicPr>
                  </pic:nvPicPr>
                  <pic:blipFill>
                    <a:blip r:embed="rId6"/>
                    <a:stretch>
                      <a:fillRect/>
                    </a:stretch>
                  </pic:blipFill>
                  <pic:spPr>
                    <a:xfrm>
                      <a:off x="0" y="0"/>
                      <a:ext cx="406400" cy="393700"/>
                    </a:xfrm>
                    <a:prstGeom prst="rect">
                      <a:avLst/>
                    </a:prstGeom>
                  </pic:spPr>
                </pic:pic>
              </a:graphicData>
            </a:graphic>
          </wp:anchor>
        </w:drawing>
      </w:r>
      <w:r>
        <w:rPr>
          <w:rFonts w:hint="eastAsia" w:ascii="Times New Roman" w:hAnsi="Times New Roman" w:eastAsia="黑体"/>
          <w:sz w:val="32"/>
          <w:szCs w:val="32"/>
        </w:rPr>
        <w:t>202</w:t>
      </w:r>
      <w:r>
        <w:rPr>
          <w:rFonts w:hint="eastAsia" w:ascii="Times New Roman" w:hAnsi="Times New Roman" w:eastAsia="黑体"/>
          <w:sz w:val="32"/>
          <w:szCs w:val="32"/>
          <w:lang w:val="en-US" w:eastAsia="zh-CN"/>
        </w:rPr>
        <w:t>5</w:t>
      </w:r>
      <w:r>
        <w:rPr>
          <w:rFonts w:hint="eastAsia" w:ascii="Times New Roman" w:hAnsi="Times New Roman" w:eastAsia="黑体"/>
          <w:sz w:val="32"/>
          <w:szCs w:val="32"/>
        </w:rPr>
        <w:t>年高考</w:t>
      </w:r>
      <w:r>
        <w:rPr>
          <w:rFonts w:hint="eastAsia" w:ascii="Times New Roman" w:hAnsi="Times New Roman" w:eastAsia="黑体"/>
          <w:sz w:val="32"/>
          <w:szCs w:val="32"/>
          <w:lang w:eastAsia="zh-CN"/>
        </w:rPr>
        <w:t>浙江</w:t>
      </w:r>
      <w:bookmarkStart w:id="0" w:name="_GoBack"/>
      <w:bookmarkEnd w:id="0"/>
      <w:r>
        <w:rPr>
          <w:rFonts w:hint="eastAsia" w:eastAsia="黑体"/>
          <w:sz w:val="32"/>
          <w:szCs w:val="32"/>
        </w:rPr>
        <w:t>历史</w:t>
      </w:r>
      <w:r>
        <w:rPr>
          <w:rFonts w:hint="eastAsia" w:ascii="Times New Roman" w:hAnsi="Times New Roman" w:eastAsia="黑体"/>
          <w:sz w:val="32"/>
          <w:szCs w:val="32"/>
        </w:rPr>
        <w:t>模拟考试卷（A卷）</w:t>
      </w:r>
    </w:p>
    <w:p w14:paraId="305BB0F6">
      <w:pPr>
        <w:widowControl/>
        <w:spacing w:line="288" w:lineRule="auto"/>
        <w:jc w:val="center"/>
        <w:rPr>
          <w:rFonts w:hint="eastAsia" w:ascii="黑体" w:hAnsi="黑体" w:eastAsia="黑体"/>
          <w:color w:val="000000"/>
          <w:sz w:val="44"/>
          <w:szCs w:val="44"/>
        </w:rPr>
      </w:pPr>
      <w:r>
        <w:rPr>
          <w:rFonts w:hint="eastAsia" w:ascii="黑体" w:hAnsi="黑体" w:eastAsia="黑体"/>
          <w:color w:val="000000"/>
          <w:sz w:val="44"/>
          <w:szCs w:val="44"/>
        </w:rPr>
        <w:t>高三历史</w:t>
      </w:r>
    </w:p>
    <w:p w14:paraId="7B58F7B6">
      <w:pPr>
        <w:adjustRightInd w:val="0"/>
        <w:spacing w:line="360" w:lineRule="auto"/>
        <w:jc w:val="center"/>
        <w:textAlignment w:val="center"/>
        <w:rPr>
          <w:rFonts w:ascii="Times New Roman" w:hAnsi="Times New Roman" w:eastAsia="楷体"/>
          <w:kern w:val="0"/>
        </w:rPr>
      </w:pPr>
      <w:r>
        <w:rPr>
          <w:rFonts w:ascii="Times New Roman" w:hAnsi="Times New Roman" w:eastAsia="楷体"/>
          <w:kern w:val="0"/>
        </w:rPr>
        <w:t>（考试时间：</w:t>
      </w:r>
      <w:r>
        <w:rPr>
          <w:rFonts w:hint="eastAsia" w:ascii="Times New Roman" w:hAnsi="Times New Roman" w:eastAsia="楷体"/>
          <w:kern w:val="0"/>
        </w:rPr>
        <w:t>9</w:t>
      </w:r>
      <w:r>
        <w:rPr>
          <w:rFonts w:ascii="Times New Roman" w:hAnsi="Times New Roman" w:eastAsia="楷体"/>
          <w:kern w:val="0"/>
        </w:rPr>
        <w:t>0分钟  试卷满分：</w:t>
      </w:r>
      <w:r>
        <w:rPr>
          <w:rFonts w:hint="eastAsia" w:ascii="Times New Roman" w:hAnsi="Times New Roman" w:eastAsia="楷体"/>
          <w:kern w:val="0"/>
        </w:rPr>
        <w:t>1</w:t>
      </w:r>
      <w:r>
        <w:rPr>
          <w:rFonts w:ascii="Times New Roman" w:hAnsi="Times New Roman" w:eastAsia="楷体"/>
          <w:kern w:val="0"/>
        </w:rPr>
        <w:t>00分）</w:t>
      </w:r>
    </w:p>
    <w:p w14:paraId="081A4294">
      <w:pPr>
        <w:overflowPunct w:val="0"/>
        <w:adjustRightInd w:val="0"/>
        <w:spacing w:line="360" w:lineRule="auto"/>
        <w:ind w:left="420" w:hanging="430" w:hangingChars="200"/>
        <w:textAlignment w:val="center"/>
        <w:rPr>
          <w:rFonts w:hint="eastAsia" w:ascii="Times New Roman" w:hAnsi="Times New Roman" w:eastAsia="黑体"/>
          <w:b/>
          <w:spacing w:val="2"/>
          <w:kern w:val="0"/>
          <w:szCs w:val="21"/>
        </w:rPr>
      </w:pPr>
      <w:r>
        <w:rPr>
          <w:rFonts w:hint="eastAsia" w:ascii="Times New Roman" w:hAnsi="Times New Roman" w:eastAsia="黑体"/>
          <w:b/>
          <w:spacing w:val="2"/>
          <w:kern w:val="0"/>
          <w:szCs w:val="21"/>
        </w:rPr>
        <w:t>注意事项：</w:t>
      </w:r>
    </w:p>
    <w:p w14:paraId="18C943EE">
      <w:pPr>
        <w:overflowPunct w:val="0"/>
        <w:adjustRightInd w:val="0"/>
        <w:spacing w:line="360" w:lineRule="auto"/>
        <w:ind w:left="420" w:leftChars="200"/>
        <w:textAlignment w:val="center"/>
        <w:rPr>
          <w:rFonts w:hint="eastAsia" w:ascii="Times New Roman" w:hAnsi="Times New Roman" w:eastAsia="黑体"/>
          <w:spacing w:val="2"/>
          <w:kern w:val="0"/>
          <w:szCs w:val="21"/>
        </w:rPr>
      </w:pPr>
      <w:r>
        <w:rPr>
          <w:rFonts w:hint="eastAsia" w:ascii="Times New Roman" w:hAnsi="Times New Roman" w:eastAsia="黑体"/>
          <w:spacing w:val="2"/>
          <w:kern w:val="0"/>
          <w:szCs w:val="21"/>
        </w:rPr>
        <w:t>1．答卷前，考生务必将自己的姓名、准考证号等填写在答题卡和试卷指定位置上。</w:t>
      </w:r>
    </w:p>
    <w:p w14:paraId="094579AC">
      <w:pPr>
        <w:overflowPunct w:val="0"/>
        <w:adjustRightInd w:val="0"/>
        <w:spacing w:line="360" w:lineRule="auto"/>
        <w:ind w:left="420" w:leftChars="200"/>
        <w:textAlignment w:val="center"/>
        <w:rPr>
          <w:rFonts w:hint="eastAsia" w:ascii="Times New Roman" w:hAnsi="Times New Roman" w:eastAsia="黑体"/>
          <w:spacing w:val="2"/>
          <w:kern w:val="0"/>
          <w:szCs w:val="21"/>
        </w:rPr>
      </w:pPr>
      <w:r>
        <w:rPr>
          <w:rFonts w:hint="eastAsia" w:ascii="Times New Roman" w:hAnsi="Times New Roman" w:eastAsia="黑体"/>
          <w:spacing w:val="2"/>
          <w:kern w:val="0"/>
          <w:szCs w:val="21"/>
        </w:rPr>
        <w:t>2．回答选择题时，选出每小题答案后，用铅笔把答题卡上对应题目的答案标号涂黑。如</w:t>
      </w:r>
    </w:p>
    <w:p w14:paraId="0F760565">
      <w:pPr>
        <w:overflowPunct w:val="0"/>
        <w:adjustRightInd w:val="0"/>
        <w:spacing w:line="360" w:lineRule="auto"/>
        <w:ind w:left="420" w:hanging="428" w:hangingChars="200"/>
        <w:textAlignment w:val="center"/>
        <w:rPr>
          <w:rFonts w:hint="eastAsia" w:ascii="Times New Roman" w:hAnsi="Times New Roman" w:eastAsia="黑体"/>
          <w:spacing w:val="2"/>
          <w:kern w:val="0"/>
          <w:szCs w:val="21"/>
        </w:rPr>
      </w:pPr>
      <w:r>
        <w:rPr>
          <w:rFonts w:hint="eastAsia" w:ascii="Times New Roman" w:hAnsi="Times New Roman" w:eastAsia="黑体"/>
          <w:spacing w:val="2"/>
          <w:kern w:val="0"/>
          <w:szCs w:val="21"/>
        </w:rPr>
        <w:t>需改动，用橡皮擦干净后，再选涂其他答案标号。回答非选择题时，将答案写在答题卡上。写</w:t>
      </w:r>
    </w:p>
    <w:p w14:paraId="21D5C6CA">
      <w:pPr>
        <w:overflowPunct w:val="0"/>
        <w:adjustRightInd w:val="0"/>
        <w:spacing w:line="360" w:lineRule="auto"/>
        <w:ind w:left="420" w:hanging="428" w:hangingChars="200"/>
        <w:textAlignment w:val="center"/>
        <w:rPr>
          <w:rFonts w:hint="eastAsia" w:ascii="Times New Roman" w:hAnsi="Times New Roman" w:eastAsia="黑体"/>
          <w:spacing w:val="2"/>
          <w:kern w:val="0"/>
          <w:szCs w:val="21"/>
        </w:rPr>
      </w:pPr>
      <w:r>
        <w:rPr>
          <w:rFonts w:hint="eastAsia" w:ascii="Times New Roman" w:hAnsi="Times New Roman" w:eastAsia="黑体"/>
          <w:spacing w:val="2"/>
          <w:kern w:val="0"/>
          <w:szCs w:val="21"/>
        </w:rPr>
        <w:t>在本试卷上无效。</w:t>
      </w:r>
    </w:p>
    <w:p w14:paraId="7F28942B">
      <w:pPr>
        <w:overflowPunct w:val="0"/>
        <w:adjustRightInd w:val="0"/>
        <w:spacing w:line="360" w:lineRule="auto"/>
        <w:ind w:left="420" w:leftChars="200"/>
        <w:textAlignment w:val="center"/>
        <w:rPr>
          <w:rFonts w:ascii="Times New Roman" w:hAnsi="Times New Roman" w:eastAsia="黑体"/>
          <w:spacing w:val="2"/>
          <w:kern w:val="0"/>
          <w:szCs w:val="21"/>
        </w:rPr>
      </w:pPr>
      <w:r>
        <w:rPr>
          <w:rFonts w:hint="eastAsia" w:ascii="Times New Roman" w:hAnsi="Times New Roman" w:eastAsia="黑体"/>
          <w:spacing w:val="2"/>
          <w:kern w:val="0"/>
          <w:szCs w:val="21"/>
        </w:rPr>
        <w:t>3．考试结束后，将本试卷和答题卡一并交回</w:t>
      </w:r>
    </w:p>
    <w:p w14:paraId="7970A359">
      <w:pPr>
        <w:overflowPunct w:val="0"/>
        <w:adjustRightInd w:val="0"/>
        <w:spacing w:line="360" w:lineRule="auto"/>
        <w:ind w:left="420" w:hanging="420" w:hangingChars="200"/>
        <w:jc w:val="left"/>
        <w:textAlignment w:val="center"/>
        <w:rPr>
          <w:rFonts w:ascii="Times New Roman" w:hAnsi="Times New Roman" w:eastAsia="黑体"/>
          <w:kern w:val="0"/>
          <w:szCs w:val="21"/>
        </w:rPr>
      </w:pPr>
      <w:r>
        <w:rPr>
          <w:rFonts w:hint="eastAsia" w:ascii="Times New Roman" w:hAnsi="Times New Roman" w:eastAsia="黑体"/>
          <w:kern w:val="0"/>
          <w:szCs w:val="21"/>
        </w:rPr>
        <w:t>一</w:t>
      </w:r>
      <w:r>
        <w:rPr>
          <w:rFonts w:ascii="Times New Roman" w:hAnsi="Times New Roman" w:eastAsia="黑体"/>
          <w:kern w:val="0"/>
          <w:szCs w:val="21"/>
        </w:rPr>
        <w:t>、选择题：本题共</w:t>
      </w:r>
      <w:r>
        <w:rPr>
          <w:rFonts w:hint="eastAsia" w:eastAsia="黑体"/>
          <w:kern w:val="0"/>
          <w:szCs w:val="21"/>
        </w:rPr>
        <w:t>25</w:t>
      </w:r>
      <w:r>
        <w:rPr>
          <w:rFonts w:ascii="Times New Roman" w:hAnsi="Times New Roman" w:eastAsia="黑体"/>
          <w:kern w:val="0"/>
          <w:szCs w:val="21"/>
        </w:rPr>
        <w:t>小题，</w:t>
      </w:r>
      <w:r>
        <w:rPr>
          <w:rFonts w:hint="eastAsia" w:eastAsia="黑体"/>
          <w:kern w:val="0"/>
          <w:szCs w:val="21"/>
        </w:rPr>
        <w:t>1-20题</w:t>
      </w:r>
      <w:r>
        <w:rPr>
          <w:rFonts w:ascii="Times New Roman" w:hAnsi="Times New Roman" w:eastAsia="黑体"/>
          <w:kern w:val="0"/>
          <w:szCs w:val="21"/>
        </w:rPr>
        <w:t>每小题</w:t>
      </w:r>
      <w:r>
        <w:rPr>
          <w:rFonts w:hint="eastAsia" w:eastAsia="黑体"/>
          <w:kern w:val="0"/>
          <w:szCs w:val="21"/>
        </w:rPr>
        <w:t>2</w:t>
      </w:r>
      <w:r>
        <w:rPr>
          <w:rFonts w:ascii="Times New Roman" w:hAnsi="Times New Roman" w:eastAsia="黑体"/>
          <w:kern w:val="0"/>
          <w:szCs w:val="21"/>
        </w:rPr>
        <w:t>分</w:t>
      </w:r>
      <w:r>
        <w:rPr>
          <w:rFonts w:hint="eastAsia" w:ascii="Times New Roman" w:hAnsi="Times New Roman" w:eastAsia="黑体"/>
          <w:kern w:val="0"/>
          <w:szCs w:val="21"/>
        </w:rPr>
        <w:t>，</w:t>
      </w:r>
      <w:r>
        <w:rPr>
          <w:rFonts w:hint="eastAsia" w:eastAsia="黑体"/>
          <w:kern w:val="0"/>
          <w:szCs w:val="21"/>
        </w:rPr>
        <w:t>21-25题每小题3</w:t>
      </w:r>
      <w:r>
        <w:rPr>
          <w:rFonts w:hint="eastAsia" w:ascii="Times New Roman" w:hAnsi="Times New Roman" w:eastAsia="黑体"/>
          <w:kern w:val="0"/>
          <w:szCs w:val="21"/>
        </w:rPr>
        <w:t>分</w:t>
      </w:r>
      <w:r>
        <w:rPr>
          <w:rFonts w:hint="eastAsia" w:eastAsia="黑体"/>
          <w:kern w:val="0"/>
          <w:szCs w:val="21"/>
        </w:rPr>
        <w:t>，共55分</w:t>
      </w:r>
      <w:r>
        <w:rPr>
          <w:rFonts w:ascii="Times New Roman" w:hAnsi="Times New Roman" w:eastAsia="黑体"/>
          <w:kern w:val="0"/>
          <w:szCs w:val="21"/>
        </w:rPr>
        <w:t>。在每小题给出的四个选项中，只有一项符合题目要求</w:t>
      </w:r>
    </w:p>
    <w:p w14:paraId="3839BD3D">
      <w:pPr>
        <w:pStyle w:val="53"/>
        <w:spacing w:line="240" w:lineRule="auto"/>
        <w:ind w:left="420" w:leftChars="50" w:hanging="315" w:hangingChars="150"/>
      </w:pPr>
      <w:r>
        <w:rPr>
          <w:rFonts w:hint="eastAsia"/>
        </w:rPr>
        <w:t>1．下图所示文物大量出土于隋唐墓葬中，而在此前和此后的墓葬中却很罕见。这间接说明隋唐时期</w:t>
      </w:r>
    </w:p>
    <w:p w14:paraId="6157DE11">
      <w:pPr>
        <w:pStyle w:val="53"/>
        <w:spacing w:line="240" w:lineRule="auto"/>
        <w:ind w:left="420"/>
        <w:jc w:val="center"/>
      </w:pPr>
      <w:r>
        <w:rPr>
          <w:rFonts w:hint="eastAsia"/>
        </w:rPr>
        <w:pict>
          <v:shape id="_x0000_i1025" o:spt="75" type="#_x0000_t75" style="height:112.5pt;width:159.75pt;" filled="f" o:preferrelative="t" stroked="f" coordsize="21600,21600">
            <v:path/>
            <v:fill on="f" focussize="0,0"/>
            <v:stroke on="f" joinstyle="miter"/>
            <v:imagedata r:id="rId7" o:title=""/>
            <o:lock v:ext="edit" aspectratio="t"/>
            <w10:wrap type="none"/>
            <w10:anchorlock/>
          </v:shape>
        </w:pict>
      </w:r>
    </w:p>
    <w:p w14:paraId="42785803">
      <w:pPr>
        <w:pStyle w:val="54"/>
        <w:autoSpaceDN w:val="0"/>
        <w:spacing w:line="240" w:lineRule="auto"/>
        <w:ind w:left="420"/>
      </w:pPr>
      <w:r>
        <w:rPr>
          <w:rFonts w:hint="eastAsia" w:ascii="Times New Roman" w:hAnsi="Times New Roman"/>
          <w:spacing w:val="25"/>
        </w:rPr>
        <w:t>A．</w:t>
      </w:r>
      <w:r>
        <w:rPr>
          <w:rFonts w:hint="eastAsia" w:ascii="Times New Roman" w:hAnsi="Times New Roman"/>
        </w:rPr>
        <w:t xml:space="preserve">对外贸易处于顶峰                 </w:t>
      </w:r>
      <w:r>
        <w:rPr>
          <w:rFonts w:hint="eastAsia" w:ascii="Times New Roman" w:hAnsi="Times New Roman"/>
          <w:spacing w:val="25"/>
        </w:rPr>
        <w:t>B．</w:t>
      </w:r>
      <w:r>
        <w:rPr>
          <w:rFonts w:hint="eastAsia" w:ascii="Times New Roman" w:hAnsi="Times New Roman"/>
        </w:rPr>
        <w:t>西北边疆战乱频繁</w:t>
      </w:r>
    </w:p>
    <w:p w14:paraId="202816A5">
      <w:pPr>
        <w:pStyle w:val="54"/>
        <w:autoSpaceDN w:val="0"/>
        <w:spacing w:line="240" w:lineRule="auto"/>
        <w:ind w:left="420"/>
      </w:pPr>
      <w:r>
        <w:rPr>
          <w:rFonts w:hint="eastAsia" w:ascii="Times New Roman" w:hAnsi="Times New Roman"/>
          <w:spacing w:val="25"/>
        </w:rPr>
        <w:t>C．</w:t>
      </w:r>
      <w:r>
        <w:rPr>
          <w:rFonts w:hint="eastAsia" w:ascii="Times New Roman" w:hAnsi="Times New Roman"/>
        </w:rPr>
        <w:t xml:space="preserve">丝路贸易较为兴盛                 </w:t>
      </w:r>
      <w:r>
        <w:rPr>
          <w:rFonts w:hint="eastAsia" w:ascii="Times New Roman" w:hAnsi="Times New Roman"/>
          <w:spacing w:val="25"/>
        </w:rPr>
        <w:t>D．</w:t>
      </w:r>
      <w:r>
        <w:rPr>
          <w:rFonts w:hint="eastAsia" w:ascii="Times New Roman" w:hAnsi="Times New Roman"/>
        </w:rPr>
        <w:t>榷场互市相当活跃</w:t>
      </w:r>
    </w:p>
    <w:p w14:paraId="6530979A">
      <w:pPr>
        <w:pStyle w:val="53"/>
        <w:spacing w:line="240" w:lineRule="auto"/>
        <w:ind w:left="420" w:leftChars="50" w:hanging="315" w:hangingChars="150"/>
      </w:pPr>
      <w:r>
        <w:rPr>
          <w:rFonts w:hint="eastAsia"/>
        </w:rPr>
        <w:t>2．下表为乡镇企业外向型经济状况表（单位：亿元）表中的数据变化说明，这一时期我国</w:t>
      </w:r>
    </w:p>
    <w:tbl>
      <w:tblPr>
        <w:tblStyle w:val="12"/>
        <w:tblW w:w="54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080"/>
        <w:gridCol w:w="1440"/>
        <w:gridCol w:w="1440"/>
        <w:gridCol w:w="1440"/>
      </w:tblGrid>
      <w:tr w14:paraId="73ACF6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80" w:type="dxa"/>
            <w:shd w:val="clear" w:color="auto" w:fill="auto"/>
            <w:tcMar>
              <w:left w:w="119" w:type="dxa"/>
              <w:right w:w="119" w:type="dxa"/>
            </w:tcMar>
          </w:tcPr>
          <w:p w14:paraId="626C086A">
            <w:pPr>
              <w:spacing w:line="360" w:lineRule="auto"/>
              <w:jc w:val="center"/>
            </w:pPr>
            <w:r>
              <w:rPr>
                <w:rFonts w:hint="eastAsia" w:ascii="Times New Roman" w:hAnsi="Times New Roman" w:eastAsia="楷体_GB2312"/>
              </w:rPr>
              <w:t>年份</w:t>
            </w:r>
          </w:p>
        </w:tc>
        <w:tc>
          <w:tcPr>
            <w:tcW w:w="1440" w:type="dxa"/>
            <w:shd w:val="clear" w:color="auto" w:fill="auto"/>
            <w:tcMar>
              <w:left w:w="119" w:type="dxa"/>
              <w:right w:w="119" w:type="dxa"/>
            </w:tcMar>
          </w:tcPr>
          <w:p w14:paraId="39FD9FD5">
            <w:pPr>
              <w:spacing w:line="360" w:lineRule="auto"/>
              <w:jc w:val="center"/>
            </w:pPr>
            <w:r>
              <w:rPr>
                <w:rFonts w:hint="eastAsia" w:ascii="Times New Roman" w:hAnsi="Times New Roman" w:eastAsia="楷体_GB2312"/>
              </w:rPr>
              <w:t>出口交货值</w:t>
            </w:r>
          </w:p>
        </w:tc>
        <w:tc>
          <w:tcPr>
            <w:tcW w:w="1440" w:type="dxa"/>
            <w:shd w:val="clear" w:color="auto" w:fill="auto"/>
            <w:tcMar>
              <w:left w:w="119" w:type="dxa"/>
              <w:right w:w="119" w:type="dxa"/>
            </w:tcMar>
          </w:tcPr>
          <w:p w14:paraId="6904BD50">
            <w:pPr>
              <w:spacing w:line="360" w:lineRule="auto"/>
              <w:jc w:val="center"/>
            </w:pPr>
            <w:r>
              <w:rPr>
                <w:rFonts w:hint="eastAsia" w:ascii="Times New Roman" w:hAnsi="Times New Roman" w:eastAsia="楷体_GB2312"/>
              </w:rPr>
              <w:t>直接出口值</w:t>
            </w:r>
          </w:p>
        </w:tc>
        <w:tc>
          <w:tcPr>
            <w:tcW w:w="1440" w:type="dxa"/>
            <w:shd w:val="clear" w:color="auto" w:fill="auto"/>
            <w:tcMar>
              <w:left w:w="119" w:type="dxa"/>
              <w:right w:w="119" w:type="dxa"/>
            </w:tcMar>
          </w:tcPr>
          <w:p w14:paraId="5F0F52D1">
            <w:pPr>
              <w:spacing w:line="360" w:lineRule="auto"/>
              <w:jc w:val="center"/>
            </w:pPr>
            <w:r>
              <w:rPr>
                <w:rFonts w:hint="eastAsia" w:ascii="Times New Roman" w:hAnsi="Times New Roman" w:eastAsia="楷体_GB2312"/>
              </w:rPr>
              <w:t>自营出口值</w:t>
            </w:r>
          </w:p>
        </w:tc>
      </w:tr>
      <w:tr w14:paraId="6F5B23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80" w:type="dxa"/>
            <w:shd w:val="clear" w:color="auto" w:fill="auto"/>
            <w:tcMar>
              <w:left w:w="119" w:type="dxa"/>
              <w:right w:w="119" w:type="dxa"/>
            </w:tcMar>
          </w:tcPr>
          <w:p w14:paraId="17DE93A4">
            <w:pPr>
              <w:spacing w:line="360" w:lineRule="auto"/>
              <w:jc w:val="center"/>
            </w:pPr>
            <w:r>
              <w:rPr>
                <w:rFonts w:hint="eastAsia" w:ascii="Times New Roman" w:hAnsi="Times New Roman" w:eastAsia="楷体_GB2312"/>
              </w:rPr>
              <w:t>1995年</w:t>
            </w:r>
          </w:p>
        </w:tc>
        <w:tc>
          <w:tcPr>
            <w:tcW w:w="1440" w:type="dxa"/>
            <w:shd w:val="clear" w:color="auto" w:fill="auto"/>
            <w:tcMar>
              <w:left w:w="119" w:type="dxa"/>
              <w:right w:w="119" w:type="dxa"/>
            </w:tcMar>
          </w:tcPr>
          <w:p w14:paraId="66F9F130">
            <w:pPr>
              <w:spacing w:line="360" w:lineRule="auto"/>
              <w:jc w:val="center"/>
            </w:pPr>
            <w:r>
              <w:rPr>
                <w:rFonts w:hint="eastAsia" w:ascii="Times New Roman" w:hAnsi="Times New Roman" w:eastAsia="楷体_GB2312"/>
              </w:rPr>
              <w:t>6235</w:t>
            </w:r>
          </w:p>
        </w:tc>
        <w:tc>
          <w:tcPr>
            <w:tcW w:w="1440" w:type="dxa"/>
            <w:shd w:val="clear" w:color="auto" w:fill="auto"/>
            <w:tcMar>
              <w:left w:w="119" w:type="dxa"/>
              <w:right w:w="119" w:type="dxa"/>
            </w:tcMar>
          </w:tcPr>
          <w:p w14:paraId="375D8F57">
            <w:pPr>
              <w:spacing w:line="360" w:lineRule="auto"/>
              <w:jc w:val="center"/>
            </w:pPr>
            <w:r>
              <w:rPr>
                <w:rFonts w:hint="eastAsia" w:ascii="Times New Roman" w:hAnsi="Times New Roman" w:eastAsia="楷体_GB2312"/>
              </w:rPr>
              <w:t>5394</w:t>
            </w:r>
          </w:p>
        </w:tc>
        <w:tc>
          <w:tcPr>
            <w:tcW w:w="1440" w:type="dxa"/>
            <w:shd w:val="clear" w:color="auto" w:fill="auto"/>
            <w:tcMar>
              <w:left w:w="119" w:type="dxa"/>
              <w:right w:w="119" w:type="dxa"/>
            </w:tcMar>
          </w:tcPr>
          <w:p w14:paraId="0B26814B">
            <w:pPr>
              <w:spacing w:line="360" w:lineRule="auto"/>
              <w:jc w:val="center"/>
            </w:pPr>
            <w:r>
              <w:rPr>
                <w:rFonts w:hint="eastAsia" w:ascii="Times New Roman" w:hAnsi="Times New Roman" w:eastAsia="楷体_GB2312"/>
              </w:rPr>
              <w:t>1051</w:t>
            </w:r>
          </w:p>
        </w:tc>
      </w:tr>
      <w:tr w14:paraId="72CFC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80" w:type="dxa"/>
            <w:shd w:val="clear" w:color="auto" w:fill="auto"/>
            <w:tcMar>
              <w:left w:w="119" w:type="dxa"/>
              <w:right w:w="119" w:type="dxa"/>
            </w:tcMar>
          </w:tcPr>
          <w:p w14:paraId="1339B916">
            <w:pPr>
              <w:spacing w:line="360" w:lineRule="auto"/>
              <w:jc w:val="center"/>
            </w:pPr>
            <w:r>
              <w:rPr>
                <w:rFonts w:hint="eastAsia" w:ascii="Times New Roman" w:hAnsi="Times New Roman" w:eastAsia="楷体_GB2312"/>
              </w:rPr>
              <w:t>2001年</w:t>
            </w:r>
          </w:p>
        </w:tc>
        <w:tc>
          <w:tcPr>
            <w:tcW w:w="1440" w:type="dxa"/>
            <w:shd w:val="clear" w:color="auto" w:fill="auto"/>
            <w:tcMar>
              <w:left w:w="119" w:type="dxa"/>
              <w:right w:w="119" w:type="dxa"/>
            </w:tcMar>
          </w:tcPr>
          <w:p w14:paraId="3E089749">
            <w:pPr>
              <w:spacing w:line="360" w:lineRule="auto"/>
              <w:jc w:val="center"/>
            </w:pPr>
            <w:r>
              <w:rPr>
                <w:rFonts w:hint="eastAsia" w:ascii="Times New Roman" w:hAnsi="Times New Roman" w:eastAsia="楷体_GB2312"/>
              </w:rPr>
              <w:t>9599</w:t>
            </w:r>
          </w:p>
        </w:tc>
        <w:tc>
          <w:tcPr>
            <w:tcW w:w="1440" w:type="dxa"/>
            <w:shd w:val="clear" w:color="auto" w:fill="auto"/>
            <w:tcMar>
              <w:left w:w="119" w:type="dxa"/>
              <w:right w:w="119" w:type="dxa"/>
            </w:tcMar>
          </w:tcPr>
          <w:p w14:paraId="75F65994">
            <w:pPr>
              <w:spacing w:line="360" w:lineRule="auto"/>
              <w:jc w:val="center"/>
            </w:pPr>
            <w:r>
              <w:rPr>
                <w:rFonts w:hint="eastAsia" w:ascii="Times New Roman" w:hAnsi="Times New Roman" w:eastAsia="楷体_GB2312"/>
              </w:rPr>
              <w:t>7855</w:t>
            </w:r>
          </w:p>
        </w:tc>
        <w:tc>
          <w:tcPr>
            <w:tcW w:w="1440" w:type="dxa"/>
            <w:shd w:val="clear" w:color="auto" w:fill="auto"/>
            <w:tcMar>
              <w:left w:w="119" w:type="dxa"/>
              <w:right w:w="119" w:type="dxa"/>
            </w:tcMar>
          </w:tcPr>
          <w:p w14:paraId="071D7211">
            <w:pPr>
              <w:spacing w:line="360" w:lineRule="auto"/>
              <w:jc w:val="center"/>
            </w:pPr>
            <w:r>
              <w:rPr>
                <w:rFonts w:hint="eastAsia" w:ascii="Times New Roman" w:hAnsi="Times New Roman" w:eastAsia="楷体_GB2312"/>
              </w:rPr>
              <w:t>4046</w:t>
            </w:r>
          </w:p>
        </w:tc>
      </w:tr>
    </w:tbl>
    <w:p w14:paraId="59F4DD32">
      <w:pPr>
        <w:pStyle w:val="54"/>
        <w:autoSpaceDN w:val="0"/>
        <w:spacing w:line="240" w:lineRule="auto"/>
        <w:ind w:left="420"/>
      </w:pPr>
      <w:r>
        <w:rPr>
          <w:rFonts w:hint="eastAsia" w:ascii="Times New Roman" w:hAnsi="Times New Roman"/>
          <w:spacing w:val="25"/>
        </w:rPr>
        <w:t>A．</w:t>
      </w:r>
      <w:r>
        <w:rPr>
          <w:rFonts w:hint="eastAsia" w:ascii="Times New Roman" w:hAnsi="Times New Roman"/>
        </w:rPr>
        <w:t xml:space="preserve">正式加入世界贸易组织             </w:t>
      </w:r>
      <w:r>
        <w:rPr>
          <w:rFonts w:hint="eastAsia" w:ascii="Times New Roman" w:hAnsi="Times New Roman"/>
          <w:spacing w:val="25"/>
        </w:rPr>
        <w:t>B．</w:t>
      </w:r>
      <w:r>
        <w:rPr>
          <w:rFonts w:hint="eastAsia" w:ascii="Times New Roman" w:hAnsi="Times New Roman"/>
        </w:rPr>
        <w:t>主动适应经济全球化趋势</w:t>
      </w:r>
    </w:p>
    <w:p w14:paraId="1CBFA529">
      <w:pPr>
        <w:pStyle w:val="54"/>
        <w:autoSpaceDN w:val="0"/>
        <w:spacing w:line="240" w:lineRule="auto"/>
        <w:ind w:left="420"/>
      </w:pPr>
      <w:r>
        <w:rPr>
          <w:rFonts w:hint="eastAsia" w:ascii="Times New Roman" w:hAnsi="Times New Roman"/>
          <w:spacing w:val="25"/>
        </w:rPr>
        <w:t>C．</w:t>
      </w:r>
      <w:r>
        <w:rPr>
          <w:rFonts w:hint="eastAsia" w:ascii="Times New Roman" w:hAnsi="Times New Roman"/>
        </w:rPr>
        <w:t xml:space="preserve">市场经济体制基本建立             </w:t>
      </w:r>
      <w:r>
        <w:rPr>
          <w:rFonts w:hint="eastAsia" w:ascii="Times New Roman" w:hAnsi="Times New Roman"/>
          <w:spacing w:val="25"/>
        </w:rPr>
        <w:t>D．</w:t>
      </w:r>
      <w:r>
        <w:rPr>
          <w:rFonts w:hint="eastAsia" w:ascii="Times New Roman" w:hAnsi="Times New Roman"/>
        </w:rPr>
        <w:t>对外贸易结构趋向于合理</w:t>
      </w:r>
    </w:p>
    <w:p w14:paraId="27B8E638">
      <w:pPr>
        <w:pStyle w:val="53"/>
        <w:spacing w:line="240" w:lineRule="auto"/>
        <w:ind w:left="420" w:leftChars="50" w:hanging="315" w:hangingChars="150"/>
      </w:pPr>
      <w:r>
        <w:rPr>
          <w:rFonts w:hint="eastAsia"/>
        </w:rPr>
        <w:t>3．五四运动之后，以李大钊为代表的北大师生在《新青年》《每周评论》《国民》等杂志撰稿，阐述了马克思主义的精髓要义，论证了马克思主义适合中国的需要。山东省立第一师范的王尽美联合邓恩铭发起成立了“励新学会”，并创办了《励新》学刊，研究和宣传马克思主义，廓清了很多青年学生的思想。这些活动</w:t>
      </w:r>
    </w:p>
    <w:p w14:paraId="19E4DDB2">
      <w:pPr>
        <w:pStyle w:val="54"/>
        <w:autoSpaceDN w:val="0"/>
        <w:spacing w:line="240" w:lineRule="auto"/>
        <w:ind w:left="420"/>
      </w:pPr>
      <w:r>
        <w:rPr>
          <w:rFonts w:hint="eastAsia" w:ascii="Times New Roman" w:hAnsi="Times New Roman"/>
          <w:spacing w:val="25"/>
        </w:rPr>
        <w:t>A．</w:t>
      </w:r>
      <w:r>
        <w:rPr>
          <w:rFonts w:hint="eastAsia" w:ascii="Times New Roman" w:hAnsi="Times New Roman"/>
        </w:rPr>
        <w:t xml:space="preserve">使中国人民接受了马克思主义的洗礼 </w:t>
      </w:r>
      <w:r>
        <w:rPr>
          <w:rFonts w:hint="eastAsia" w:ascii="Times New Roman" w:hAnsi="Times New Roman"/>
          <w:spacing w:val="25"/>
        </w:rPr>
        <w:t>B．</w:t>
      </w:r>
      <w:r>
        <w:rPr>
          <w:rFonts w:hint="eastAsia" w:ascii="Times New Roman" w:hAnsi="Times New Roman"/>
        </w:rPr>
        <w:t>有力地批驳了“尊孔复古”的逆流</w:t>
      </w:r>
    </w:p>
    <w:p w14:paraId="53484B05">
      <w:pPr>
        <w:pStyle w:val="54"/>
        <w:autoSpaceDN w:val="0"/>
        <w:spacing w:line="240" w:lineRule="auto"/>
        <w:ind w:left="420"/>
      </w:pPr>
      <w:r>
        <w:rPr>
          <w:rFonts w:hint="eastAsia" w:ascii="Times New Roman" w:hAnsi="Times New Roman"/>
          <w:spacing w:val="25"/>
        </w:rPr>
        <w:t>C．</w:t>
      </w:r>
      <w:r>
        <w:rPr>
          <w:rFonts w:hint="eastAsia" w:ascii="Times New Roman" w:hAnsi="Times New Roman"/>
        </w:rPr>
        <w:t xml:space="preserve">为中国共产党的诞生准备了思想条件 </w:t>
      </w:r>
      <w:r>
        <w:rPr>
          <w:rFonts w:hint="eastAsia" w:ascii="Times New Roman" w:hAnsi="Times New Roman"/>
          <w:spacing w:val="25"/>
        </w:rPr>
        <w:t>D．</w:t>
      </w:r>
      <w:r>
        <w:rPr>
          <w:rFonts w:hint="eastAsia" w:ascii="Times New Roman" w:hAnsi="Times New Roman"/>
        </w:rPr>
        <w:t>为开展国民革命做好了舆论动员</w:t>
      </w:r>
    </w:p>
    <w:p w14:paraId="63EF10FD">
      <w:pPr>
        <w:pStyle w:val="53"/>
        <w:spacing w:line="240" w:lineRule="auto"/>
        <w:ind w:left="420" w:leftChars="50" w:hanging="315" w:hangingChars="150"/>
      </w:pPr>
      <w:r>
        <w:rPr>
          <w:rFonts w:hint="eastAsia"/>
        </w:rPr>
        <w:t>4．在王安石变法过程中，朝廷设立了“发运使”，主要掌握国家东南六路的生产情况以及政府与宫廷的物资需求情况，按照“徙贵就贱，用近易远”的原则，统一收购和运输物资。这一措施</w:t>
      </w:r>
    </w:p>
    <w:p w14:paraId="5484662F">
      <w:pPr>
        <w:pStyle w:val="54"/>
        <w:autoSpaceDN w:val="0"/>
        <w:spacing w:line="240" w:lineRule="auto"/>
        <w:ind w:left="420"/>
      </w:pPr>
      <w:r>
        <w:rPr>
          <w:rFonts w:hint="eastAsia" w:ascii="Times New Roman" w:hAnsi="Times New Roman"/>
          <w:spacing w:val="25"/>
        </w:rPr>
        <w:t>A．</w:t>
      </w:r>
      <w:r>
        <w:rPr>
          <w:rFonts w:hint="eastAsia" w:ascii="Times New Roman" w:hAnsi="Times New Roman"/>
        </w:rPr>
        <w:t xml:space="preserve">调动了商人从商的热情             </w:t>
      </w:r>
      <w:r>
        <w:rPr>
          <w:rFonts w:hint="eastAsia" w:ascii="Times New Roman" w:hAnsi="Times New Roman"/>
          <w:spacing w:val="25"/>
        </w:rPr>
        <w:t>B．</w:t>
      </w:r>
      <w:r>
        <w:rPr>
          <w:rFonts w:hint="eastAsia" w:ascii="Times New Roman" w:hAnsi="Times New Roman"/>
        </w:rPr>
        <w:t>提高了农业产品的价格</w:t>
      </w:r>
    </w:p>
    <w:p w14:paraId="6F25DD1F">
      <w:pPr>
        <w:pStyle w:val="54"/>
        <w:autoSpaceDN w:val="0"/>
        <w:spacing w:line="240" w:lineRule="auto"/>
        <w:ind w:left="420"/>
      </w:pPr>
      <w:r>
        <w:rPr>
          <w:rFonts w:hint="eastAsia" w:ascii="Times New Roman" w:hAnsi="Times New Roman"/>
          <w:spacing w:val="25"/>
        </w:rPr>
        <w:t>C．</w:t>
      </w:r>
      <w:r>
        <w:rPr>
          <w:rFonts w:hint="eastAsia" w:ascii="Times New Roman" w:hAnsi="Times New Roman"/>
        </w:rPr>
        <w:t xml:space="preserve">加重了政府的财政负担             </w:t>
      </w:r>
      <w:r>
        <w:rPr>
          <w:rFonts w:hint="eastAsia" w:ascii="Times New Roman" w:hAnsi="Times New Roman"/>
          <w:spacing w:val="25"/>
        </w:rPr>
        <w:t>D．</w:t>
      </w:r>
      <w:r>
        <w:rPr>
          <w:rFonts w:hint="eastAsia" w:ascii="Times New Roman" w:hAnsi="Times New Roman"/>
        </w:rPr>
        <w:t>发挥了政府的调控作用</w:t>
      </w:r>
    </w:p>
    <w:p w14:paraId="6A2460B5">
      <w:pPr>
        <w:pStyle w:val="53"/>
        <w:spacing w:line="240" w:lineRule="auto"/>
        <w:ind w:left="420" w:leftChars="50" w:hanging="315" w:hangingChars="150"/>
      </w:pPr>
      <w:r>
        <w:rPr>
          <w:rFonts w:hint="eastAsia"/>
        </w:rPr>
        <w:t>5．革命根据地第一家合作社于1929年在福建上杭县成立，到1936年，整个根据地共有各类合作社2万个，社员达100万人，其形式有劳动互助合作社、犁牛合作社、消费合作社、运销合作社、粮食合作社、信用合作社等。根据地合作社的建立与发展</w:t>
      </w:r>
    </w:p>
    <w:p w14:paraId="45251DDA">
      <w:pPr>
        <w:pStyle w:val="54"/>
        <w:autoSpaceDN w:val="0"/>
        <w:spacing w:line="240" w:lineRule="auto"/>
        <w:ind w:left="420"/>
      </w:pPr>
      <w:r>
        <w:rPr>
          <w:rFonts w:hint="eastAsia" w:ascii="Times New Roman" w:hAnsi="Times New Roman"/>
          <w:spacing w:val="25"/>
        </w:rPr>
        <w:t>A．</w:t>
      </w:r>
      <w:r>
        <w:rPr>
          <w:rFonts w:hint="eastAsia" w:ascii="Times New Roman" w:hAnsi="Times New Roman"/>
        </w:rPr>
        <w:t xml:space="preserve">丰富了土地革命的内涵             </w:t>
      </w:r>
      <w:r>
        <w:rPr>
          <w:rFonts w:hint="eastAsia" w:ascii="Times New Roman" w:hAnsi="Times New Roman"/>
          <w:spacing w:val="25"/>
        </w:rPr>
        <w:t>B．</w:t>
      </w:r>
      <w:r>
        <w:rPr>
          <w:rFonts w:hint="eastAsia" w:ascii="Times New Roman" w:hAnsi="Times New Roman"/>
        </w:rPr>
        <w:t>打破了国民政府的经济封锁</w:t>
      </w:r>
    </w:p>
    <w:p w14:paraId="1567E897">
      <w:pPr>
        <w:pStyle w:val="54"/>
        <w:autoSpaceDN w:val="0"/>
        <w:spacing w:line="240" w:lineRule="auto"/>
        <w:ind w:left="420"/>
      </w:pPr>
      <w:r>
        <w:rPr>
          <w:rFonts w:hint="eastAsia" w:ascii="Times New Roman" w:hAnsi="Times New Roman"/>
          <w:spacing w:val="25"/>
        </w:rPr>
        <w:t>C．</w:t>
      </w:r>
      <w:r>
        <w:rPr>
          <w:rFonts w:hint="eastAsia" w:ascii="Times New Roman" w:hAnsi="Times New Roman"/>
        </w:rPr>
        <w:t xml:space="preserve">推动了统一战线的发展             </w:t>
      </w:r>
      <w:r>
        <w:rPr>
          <w:rFonts w:hint="eastAsia" w:ascii="Times New Roman" w:hAnsi="Times New Roman"/>
          <w:spacing w:val="25"/>
        </w:rPr>
        <w:t>D．</w:t>
      </w:r>
      <w:r>
        <w:rPr>
          <w:rFonts w:hint="eastAsia" w:ascii="Times New Roman" w:hAnsi="Times New Roman"/>
        </w:rPr>
        <w:t>满足了农民获得土地的愿望</w:t>
      </w:r>
    </w:p>
    <w:p w14:paraId="65D2CDE7">
      <w:pPr>
        <w:pStyle w:val="53"/>
        <w:spacing w:line="240" w:lineRule="auto"/>
        <w:ind w:left="420" w:leftChars="50" w:hanging="315" w:hangingChars="150"/>
      </w:pPr>
      <w:r>
        <w:rPr>
          <w:rFonts w:hint="eastAsia"/>
        </w:rPr>
        <w:t>6．《汉谟拉比法典》前言中说：“安努（众神之父）与恩利尔（大地和空气之神）为人类福祉计，命令我，荣耀而畏神的君主，汉谟拉比，发扬正义于世，灭除不法邪恶之人，使强不凌弱，使我有如沙马什（太阳神和司法天神），昭临黔首，光耀大地。”对上述材料理解准确的是</w:t>
      </w:r>
    </w:p>
    <w:p w14:paraId="1977D59A">
      <w:pPr>
        <w:pStyle w:val="54"/>
        <w:autoSpaceDN w:val="0"/>
        <w:spacing w:line="240" w:lineRule="auto"/>
        <w:ind w:left="420"/>
      </w:pPr>
      <w:r>
        <w:rPr>
          <w:rFonts w:hint="eastAsia" w:ascii="Times New Roman" w:hAnsi="Times New Roman"/>
          <w:spacing w:val="25"/>
        </w:rPr>
        <w:t>A．</w:t>
      </w:r>
      <w:r>
        <w:rPr>
          <w:rFonts w:hint="eastAsia" w:ascii="Times New Roman" w:hAnsi="Times New Roman"/>
        </w:rPr>
        <w:t xml:space="preserve">君主专制王权高于法权             </w:t>
      </w:r>
      <w:r>
        <w:rPr>
          <w:rFonts w:hint="eastAsia" w:ascii="Times New Roman" w:hAnsi="Times New Roman"/>
          <w:spacing w:val="25"/>
        </w:rPr>
        <w:t>B．</w:t>
      </w:r>
      <w:r>
        <w:rPr>
          <w:rFonts w:hint="eastAsia" w:ascii="Times New Roman" w:hAnsi="Times New Roman"/>
        </w:rPr>
        <w:t>君权神授追求司法公正</w:t>
      </w:r>
    </w:p>
    <w:p w14:paraId="3A262F29">
      <w:pPr>
        <w:pStyle w:val="54"/>
        <w:autoSpaceDN w:val="0"/>
        <w:spacing w:line="240" w:lineRule="auto"/>
        <w:ind w:left="420"/>
      </w:pPr>
      <w:r>
        <w:rPr>
          <w:rFonts w:hint="eastAsia" w:ascii="Times New Roman" w:hAnsi="Times New Roman"/>
          <w:spacing w:val="25"/>
        </w:rPr>
        <w:t>C．</w:t>
      </w:r>
      <w:r>
        <w:rPr>
          <w:rFonts w:hint="eastAsia" w:ascii="Times New Roman" w:hAnsi="Times New Roman"/>
        </w:rPr>
        <w:t xml:space="preserve">神意立法力求伸张正义             </w:t>
      </w:r>
      <w:r>
        <w:rPr>
          <w:rFonts w:hint="eastAsia" w:ascii="Times New Roman" w:hAnsi="Times New Roman"/>
          <w:spacing w:val="25"/>
        </w:rPr>
        <w:t>D．</w:t>
      </w:r>
      <w:r>
        <w:rPr>
          <w:rFonts w:hint="eastAsia" w:ascii="Times New Roman" w:hAnsi="Times New Roman"/>
        </w:rPr>
        <w:t>法权至上协调社会矛盾</w:t>
      </w:r>
    </w:p>
    <w:p w14:paraId="04DA020E">
      <w:pPr>
        <w:pStyle w:val="53"/>
        <w:spacing w:line="240" w:lineRule="auto"/>
        <w:ind w:left="420" w:leftChars="50" w:hanging="315" w:hangingChars="150"/>
      </w:pPr>
      <w:r>
        <w:rPr>
          <w:rFonts w:hint="eastAsia"/>
        </w:rPr>
        <w:t>7．经济学家约翰·密尔1823～1858年曾在东印度公司任职，他一度制定和决策了殖民地印度的相关政策。密尔认为印度处于文明发展的较低阶段，东印度公司的殖民统治给印度人民带来更多的善，东印度公司的统治比所有印度人自己的政府要好得多。密尔的说法意在</w:t>
      </w:r>
    </w:p>
    <w:p w14:paraId="0BE23AE7">
      <w:pPr>
        <w:pStyle w:val="54"/>
        <w:autoSpaceDN w:val="0"/>
        <w:spacing w:line="240" w:lineRule="auto"/>
        <w:ind w:left="420"/>
      </w:pPr>
      <w:r>
        <w:rPr>
          <w:rFonts w:hint="eastAsia" w:ascii="Times New Roman" w:hAnsi="Times New Roman"/>
          <w:spacing w:val="25"/>
        </w:rPr>
        <w:t>A．</w:t>
      </w:r>
      <w:r>
        <w:rPr>
          <w:rFonts w:hint="eastAsia" w:ascii="Times New Roman" w:hAnsi="Times New Roman"/>
        </w:rPr>
        <w:t xml:space="preserve">强调文明交流的必要性             </w:t>
      </w:r>
      <w:r>
        <w:rPr>
          <w:rFonts w:hint="eastAsia" w:ascii="Times New Roman" w:hAnsi="Times New Roman"/>
          <w:spacing w:val="25"/>
        </w:rPr>
        <w:t>B．</w:t>
      </w:r>
      <w:r>
        <w:rPr>
          <w:rFonts w:hint="eastAsia" w:ascii="Times New Roman" w:hAnsi="Times New Roman"/>
        </w:rPr>
        <w:t>论证自由贸易的合理性</w:t>
      </w:r>
    </w:p>
    <w:p w14:paraId="166087E8">
      <w:pPr>
        <w:pStyle w:val="54"/>
        <w:autoSpaceDN w:val="0"/>
        <w:spacing w:line="240" w:lineRule="auto"/>
        <w:ind w:left="420"/>
      </w:pPr>
      <w:r>
        <w:rPr>
          <w:rFonts w:hint="eastAsia" w:ascii="Times New Roman" w:hAnsi="Times New Roman"/>
          <w:spacing w:val="25"/>
        </w:rPr>
        <w:t>C．</w:t>
      </w:r>
      <w:r>
        <w:rPr>
          <w:rFonts w:hint="eastAsia" w:ascii="Times New Roman" w:hAnsi="Times New Roman"/>
        </w:rPr>
        <w:t xml:space="preserve">宣扬西方文明的优越性             </w:t>
      </w:r>
      <w:r>
        <w:rPr>
          <w:rFonts w:hint="eastAsia" w:ascii="Times New Roman" w:hAnsi="Times New Roman"/>
          <w:spacing w:val="25"/>
        </w:rPr>
        <w:t>D．</w:t>
      </w:r>
      <w:r>
        <w:rPr>
          <w:rFonts w:hint="eastAsia" w:ascii="Times New Roman" w:hAnsi="Times New Roman"/>
        </w:rPr>
        <w:t>肯定市场经济的可行性</w:t>
      </w:r>
    </w:p>
    <w:p w14:paraId="1503D6A4">
      <w:pPr>
        <w:pStyle w:val="53"/>
        <w:spacing w:line="240" w:lineRule="auto"/>
        <w:ind w:left="420" w:leftChars="50" w:hanging="315" w:hangingChars="150"/>
      </w:pPr>
      <w:r>
        <w:rPr>
          <w:rFonts w:hint="eastAsia"/>
        </w:rPr>
        <w:t>8．16世纪30年代，英国颁布的《禁止上诉法》规定，有关遗产继承与婚姻方面的案件不得从坎特伯雷大主教法庭或约克大主教法庭上呈到罗马教皇法庭。《至尊法案》规定，国王及其继承者应被尊为英国教会在尘世的惟一最高首脑。这些法律规定</w:t>
      </w:r>
    </w:p>
    <w:p w14:paraId="4EF9D42D">
      <w:pPr>
        <w:pStyle w:val="54"/>
        <w:autoSpaceDN w:val="0"/>
        <w:spacing w:line="240" w:lineRule="auto"/>
        <w:ind w:left="420"/>
      </w:pPr>
      <w:r>
        <w:rPr>
          <w:rFonts w:hint="eastAsia" w:ascii="Times New Roman" w:hAnsi="Times New Roman"/>
          <w:spacing w:val="25"/>
        </w:rPr>
        <w:t>A．</w:t>
      </w:r>
      <w:r>
        <w:rPr>
          <w:rFonts w:hint="eastAsia" w:ascii="Times New Roman" w:hAnsi="Times New Roman"/>
        </w:rPr>
        <w:t xml:space="preserve">推动了民族国家的形成             </w:t>
      </w:r>
      <w:r>
        <w:rPr>
          <w:rFonts w:hint="eastAsia" w:ascii="Times New Roman" w:hAnsi="Times New Roman"/>
          <w:spacing w:val="25"/>
        </w:rPr>
        <w:t>B．</w:t>
      </w:r>
      <w:r>
        <w:rPr>
          <w:rFonts w:hint="eastAsia" w:ascii="Times New Roman" w:hAnsi="Times New Roman"/>
        </w:rPr>
        <w:t>引发了宗教改革运动</w:t>
      </w:r>
    </w:p>
    <w:p w14:paraId="670D2880">
      <w:pPr>
        <w:pStyle w:val="54"/>
        <w:autoSpaceDN w:val="0"/>
        <w:spacing w:line="240" w:lineRule="auto"/>
        <w:ind w:left="420"/>
      </w:pPr>
      <w:r>
        <w:rPr>
          <w:rFonts w:hint="eastAsia" w:ascii="Times New Roman" w:hAnsi="Times New Roman"/>
          <w:spacing w:val="25"/>
        </w:rPr>
        <w:t>C．</w:t>
      </w:r>
      <w:r>
        <w:rPr>
          <w:rFonts w:hint="eastAsia" w:ascii="Times New Roman" w:hAnsi="Times New Roman"/>
        </w:rPr>
        <w:t xml:space="preserve">促进了英国民主的发展             </w:t>
      </w:r>
      <w:r>
        <w:rPr>
          <w:rFonts w:hint="eastAsia" w:ascii="Times New Roman" w:hAnsi="Times New Roman"/>
          <w:spacing w:val="25"/>
        </w:rPr>
        <w:t>D．</w:t>
      </w:r>
      <w:r>
        <w:rPr>
          <w:rFonts w:hint="eastAsia" w:ascii="Times New Roman" w:hAnsi="Times New Roman"/>
        </w:rPr>
        <w:t>确立了法律至上原则</w:t>
      </w:r>
    </w:p>
    <w:p w14:paraId="1996086D">
      <w:pPr>
        <w:pStyle w:val="53"/>
        <w:spacing w:line="240" w:lineRule="auto"/>
        <w:ind w:left="420" w:leftChars="50" w:hanging="315" w:hangingChars="150"/>
      </w:pPr>
      <w:r>
        <w:rPr>
          <w:rFonts w:hint="eastAsia"/>
        </w:rPr>
        <w:t>9．《1493：物种大交换开创的世界史》指出，哥伦布航海引起物种大交换，使亿万年来相互分离的生态系统开始相遇融合，拉开了欧洲、亚洲、非洲和美洲飞速同质化的大幕，形成“同质世”时代。这说明新航路开辟后</w:t>
      </w:r>
    </w:p>
    <w:p w14:paraId="5CE9255E">
      <w:pPr>
        <w:pStyle w:val="54"/>
        <w:autoSpaceDN w:val="0"/>
        <w:spacing w:line="240" w:lineRule="auto"/>
        <w:ind w:left="420"/>
      </w:pPr>
      <w:r>
        <w:rPr>
          <w:rFonts w:hint="eastAsia" w:ascii="Times New Roman" w:hAnsi="Times New Roman"/>
          <w:spacing w:val="25"/>
        </w:rPr>
        <w:t>A．</w:t>
      </w:r>
      <w:r>
        <w:rPr>
          <w:rFonts w:hint="eastAsia" w:ascii="Times New Roman" w:hAnsi="Times New Roman"/>
        </w:rPr>
        <w:t xml:space="preserve">人类物质生活水平提升             </w:t>
      </w:r>
      <w:r>
        <w:rPr>
          <w:rFonts w:hint="eastAsia" w:ascii="Times New Roman" w:hAnsi="Times New Roman"/>
          <w:spacing w:val="25"/>
        </w:rPr>
        <w:t>B．</w:t>
      </w:r>
      <w:r>
        <w:rPr>
          <w:rFonts w:hint="eastAsia" w:ascii="Times New Roman" w:hAnsi="Times New Roman"/>
        </w:rPr>
        <w:t>物种交流推动各地同一化</w:t>
      </w:r>
    </w:p>
    <w:p w14:paraId="0E5B8C69">
      <w:pPr>
        <w:pStyle w:val="54"/>
        <w:autoSpaceDN w:val="0"/>
        <w:spacing w:line="240" w:lineRule="auto"/>
        <w:ind w:left="420"/>
      </w:pPr>
      <w:r>
        <w:rPr>
          <w:rFonts w:hint="eastAsia" w:ascii="Times New Roman" w:hAnsi="Times New Roman"/>
          <w:spacing w:val="25"/>
        </w:rPr>
        <w:t>C．</w:t>
      </w:r>
      <w:r>
        <w:rPr>
          <w:rFonts w:hint="eastAsia" w:ascii="Times New Roman" w:hAnsi="Times New Roman"/>
        </w:rPr>
        <w:t xml:space="preserve">生物多样性被严重破坏             </w:t>
      </w:r>
      <w:r>
        <w:rPr>
          <w:rFonts w:hint="eastAsia" w:ascii="Times New Roman" w:hAnsi="Times New Roman"/>
          <w:spacing w:val="25"/>
        </w:rPr>
        <w:t>D．</w:t>
      </w:r>
      <w:r>
        <w:rPr>
          <w:rFonts w:hint="eastAsia" w:ascii="Times New Roman" w:hAnsi="Times New Roman"/>
        </w:rPr>
        <w:t>欧洲殖民者开始主导世界</w:t>
      </w:r>
    </w:p>
    <w:p w14:paraId="35E6583C">
      <w:pPr>
        <w:pStyle w:val="53"/>
        <w:spacing w:line="240" w:lineRule="auto"/>
        <w:ind w:left="420" w:hanging="420" w:hangingChars="200"/>
      </w:pPr>
      <w:r>
        <w:rPr>
          <w:rFonts w:hint="eastAsia"/>
        </w:rPr>
        <w:t>10．杭州在《马可·波罗行记》里被描述为“千桥之城”，桥是这个城市特有的文化符号。2016年G20杭州峰会会标由20根等粗等距，两端不封闭的光纤，描绘出一个桥形轮廓，在色彩上选用了蓝色和绿色。该创意重在表达</w:t>
      </w:r>
    </w:p>
    <w:p w14:paraId="4DBCC83C">
      <w:pPr>
        <w:pStyle w:val="54"/>
        <w:autoSpaceDN w:val="0"/>
        <w:spacing w:line="240" w:lineRule="auto"/>
        <w:ind w:left="420"/>
      </w:pPr>
      <w:r>
        <w:rPr>
          <w:rFonts w:hint="eastAsia" w:ascii="Times New Roman" w:hAnsi="Times New Roman"/>
          <w:spacing w:val="25"/>
        </w:rPr>
        <w:t>A．</w:t>
      </w:r>
      <w:r>
        <w:rPr>
          <w:rFonts w:hint="eastAsia" w:ascii="Times New Roman" w:hAnsi="Times New Roman"/>
        </w:rPr>
        <w:t xml:space="preserve">全球信息化已成时代潮流           </w:t>
      </w:r>
      <w:r>
        <w:rPr>
          <w:rFonts w:hint="eastAsia" w:ascii="Times New Roman" w:hAnsi="Times New Roman"/>
          <w:spacing w:val="25"/>
        </w:rPr>
        <w:t>B．</w:t>
      </w:r>
      <w:r>
        <w:rPr>
          <w:rFonts w:hint="eastAsia" w:ascii="Times New Roman" w:hAnsi="Times New Roman"/>
        </w:rPr>
        <w:t>中国文化的多元一体特征</w:t>
      </w:r>
    </w:p>
    <w:p w14:paraId="7288268D">
      <w:pPr>
        <w:pStyle w:val="54"/>
        <w:autoSpaceDN w:val="0"/>
        <w:spacing w:line="240" w:lineRule="auto"/>
        <w:ind w:left="420"/>
      </w:pPr>
      <w:r>
        <w:rPr>
          <w:rFonts w:hint="eastAsia" w:ascii="Times New Roman" w:hAnsi="Times New Roman"/>
          <w:spacing w:val="25"/>
        </w:rPr>
        <w:t>C．</w:t>
      </w:r>
      <w:r>
        <w:rPr>
          <w:rFonts w:hint="eastAsia" w:ascii="Times New Roman" w:hAnsi="Times New Roman"/>
        </w:rPr>
        <w:t xml:space="preserve">合作共赢中促发展的理念           </w:t>
      </w:r>
      <w:r>
        <w:rPr>
          <w:rFonts w:hint="eastAsia" w:ascii="Times New Roman" w:hAnsi="Times New Roman"/>
          <w:spacing w:val="25"/>
        </w:rPr>
        <w:t>D．</w:t>
      </w:r>
      <w:r>
        <w:rPr>
          <w:rFonts w:hint="eastAsia" w:ascii="Times New Roman" w:hAnsi="Times New Roman"/>
        </w:rPr>
        <w:t>倡导全球治理体系的变革</w:t>
      </w:r>
    </w:p>
    <w:p w14:paraId="4CFE72A5">
      <w:pPr>
        <w:pStyle w:val="53"/>
        <w:spacing w:line="240" w:lineRule="auto"/>
        <w:ind w:left="420" w:hanging="420" w:hangingChars="200"/>
      </w:pPr>
      <w:r>
        <w:rPr>
          <w:rFonts w:hint="eastAsia"/>
        </w:rPr>
        <w:t>11．古代雅典的官职津贴来自于城邦的库藏，但很多情况下，雅典的库藏不足以支付这种津贴。于是政治领袖们为了保证津贴，常常凭借民众法庭之力没收私财以充公，故没收富室财产的法案时有提出。这一现象可以用来说明雅典</w:t>
      </w:r>
    </w:p>
    <w:p w14:paraId="5BC69FFE">
      <w:pPr>
        <w:pStyle w:val="54"/>
        <w:autoSpaceDN w:val="0"/>
        <w:spacing w:line="240" w:lineRule="auto"/>
        <w:ind w:left="420"/>
      </w:pPr>
      <w:r>
        <w:rPr>
          <w:rFonts w:hint="eastAsia" w:ascii="Times New Roman" w:hAnsi="Times New Roman"/>
          <w:spacing w:val="25"/>
        </w:rPr>
        <w:t>A．</w:t>
      </w:r>
      <w:r>
        <w:rPr>
          <w:rFonts w:hint="eastAsia" w:ascii="Times New Roman" w:hAnsi="Times New Roman"/>
        </w:rPr>
        <w:t xml:space="preserve">法律服从全体民众意愿             </w:t>
      </w:r>
      <w:r>
        <w:rPr>
          <w:rFonts w:hint="eastAsia" w:ascii="Times New Roman" w:hAnsi="Times New Roman"/>
          <w:spacing w:val="25"/>
        </w:rPr>
        <w:t>B．</w:t>
      </w:r>
      <w:r>
        <w:rPr>
          <w:rFonts w:hint="eastAsia" w:ascii="Times New Roman" w:hAnsi="Times New Roman"/>
        </w:rPr>
        <w:t>经济基础难以支撑民主政体</w:t>
      </w:r>
    </w:p>
    <w:p w14:paraId="3F7D2DD0">
      <w:pPr>
        <w:pStyle w:val="54"/>
        <w:autoSpaceDN w:val="0"/>
        <w:spacing w:line="240" w:lineRule="auto"/>
        <w:ind w:left="420"/>
      </w:pPr>
      <w:r>
        <w:rPr>
          <w:rFonts w:hint="eastAsia" w:ascii="Times New Roman" w:hAnsi="Times New Roman"/>
          <w:spacing w:val="25"/>
        </w:rPr>
        <w:t>C．</w:t>
      </w:r>
      <w:r>
        <w:rPr>
          <w:rFonts w:hint="eastAsia" w:ascii="Times New Roman" w:hAnsi="Times New Roman"/>
        </w:rPr>
        <w:t xml:space="preserve">公民的参政热情并不高             </w:t>
      </w:r>
      <w:r>
        <w:rPr>
          <w:rFonts w:hint="eastAsia" w:ascii="Times New Roman" w:hAnsi="Times New Roman"/>
          <w:spacing w:val="25"/>
        </w:rPr>
        <w:t>D．</w:t>
      </w:r>
      <w:r>
        <w:rPr>
          <w:rFonts w:hint="eastAsia" w:ascii="Times New Roman" w:hAnsi="Times New Roman"/>
        </w:rPr>
        <w:t>直接民主存在非理性的漏洞</w:t>
      </w:r>
    </w:p>
    <w:p w14:paraId="75D80352">
      <w:pPr>
        <w:pStyle w:val="53"/>
        <w:spacing w:line="240" w:lineRule="auto"/>
        <w:ind w:left="420" w:hanging="420" w:hangingChars="200"/>
      </w:pPr>
      <w:r>
        <w:rPr>
          <w:rFonts w:hint="eastAsia"/>
        </w:rPr>
        <w:t>12．从现有材料来看，周人围绕“中”形成了“处中国以治万邦”，围绕“四方”方位形成了“圣人南面而治天下”，围绕“左右”方位形成了“左祖右社”“左昭右穆”，围绕“上下”方位形成了“上尊下卑”，围绕“内外”方位形成了“内诸夏外夷狄”等方位观念。这表明西周时期</w:t>
      </w:r>
    </w:p>
    <w:p w14:paraId="060AE092">
      <w:pPr>
        <w:pStyle w:val="54"/>
        <w:autoSpaceDN w:val="0"/>
        <w:spacing w:line="240" w:lineRule="auto"/>
        <w:ind w:left="420"/>
      </w:pPr>
      <w:r>
        <w:rPr>
          <w:rFonts w:hint="eastAsia" w:ascii="Times New Roman" w:hAnsi="Times New Roman"/>
          <w:spacing w:val="25"/>
        </w:rPr>
        <w:t>A．</w:t>
      </w:r>
      <w:r>
        <w:rPr>
          <w:rFonts w:hint="eastAsia" w:ascii="Times New Roman" w:hAnsi="Times New Roman"/>
        </w:rPr>
        <w:t xml:space="preserve">周王强化了地方行政管理           </w:t>
      </w:r>
      <w:r>
        <w:rPr>
          <w:rFonts w:hint="eastAsia" w:ascii="Times New Roman" w:hAnsi="Times New Roman"/>
          <w:spacing w:val="25"/>
        </w:rPr>
        <w:t>B．</w:t>
      </w:r>
      <w:r>
        <w:rPr>
          <w:rFonts w:hint="eastAsia" w:ascii="Times New Roman" w:hAnsi="Times New Roman"/>
        </w:rPr>
        <w:t>方位观念赋予了礼制内涵</w:t>
      </w:r>
    </w:p>
    <w:p w14:paraId="36984977">
      <w:pPr>
        <w:pStyle w:val="54"/>
        <w:autoSpaceDN w:val="0"/>
        <w:spacing w:line="240" w:lineRule="auto"/>
        <w:ind w:left="420"/>
      </w:pPr>
      <w:r>
        <w:rPr>
          <w:rFonts w:hint="eastAsia" w:ascii="Times New Roman" w:hAnsi="Times New Roman"/>
          <w:spacing w:val="25"/>
        </w:rPr>
        <w:t>C．</w:t>
      </w:r>
      <w:r>
        <w:rPr>
          <w:rFonts w:hint="eastAsia" w:ascii="Times New Roman" w:hAnsi="Times New Roman"/>
        </w:rPr>
        <w:t xml:space="preserve">家国一体观念得到了认同           </w:t>
      </w:r>
      <w:r>
        <w:rPr>
          <w:rFonts w:hint="eastAsia" w:ascii="Times New Roman" w:hAnsi="Times New Roman"/>
          <w:spacing w:val="25"/>
        </w:rPr>
        <w:t>D．</w:t>
      </w:r>
      <w:r>
        <w:rPr>
          <w:rFonts w:hint="eastAsia" w:ascii="Times New Roman" w:hAnsi="Times New Roman"/>
        </w:rPr>
        <w:t>同源共祖的意识初步确立</w:t>
      </w:r>
    </w:p>
    <w:p w14:paraId="2118415D">
      <w:pPr>
        <w:pStyle w:val="53"/>
        <w:spacing w:line="240" w:lineRule="auto"/>
        <w:ind w:left="420" w:hanging="420" w:hangingChars="200"/>
      </w:pPr>
      <w:r>
        <w:rPr>
          <w:rFonts w:hint="eastAsia"/>
        </w:rPr>
        <w:t>13．欧洲中世纪战争规模较小，战争起因通常是领主利益纠纷，参战主力是其豢养的骑士，外加用钱招募的雇佣兵，而近代战争往往是全民皆兵。这反映了</w:t>
      </w:r>
    </w:p>
    <w:p w14:paraId="2CD1CF20">
      <w:pPr>
        <w:pStyle w:val="54"/>
        <w:autoSpaceDN w:val="0"/>
        <w:spacing w:line="240" w:lineRule="auto"/>
        <w:ind w:left="420"/>
      </w:pPr>
      <w:r>
        <w:rPr>
          <w:rFonts w:hint="eastAsia" w:ascii="Times New Roman" w:hAnsi="Times New Roman"/>
          <w:spacing w:val="25"/>
        </w:rPr>
        <w:t>A．</w:t>
      </w:r>
      <w:r>
        <w:rPr>
          <w:rFonts w:hint="eastAsia" w:ascii="Times New Roman" w:hAnsi="Times New Roman"/>
        </w:rPr>
        <w:t xml:space="preserve">战争性质从掠夺变成正义           </w:t>
      </w:r>
      <w:r>
        <w:rPr>
          <w:rFonts w:hint="eastAsia" w:ascii="Times New Roman" w:hAnsi="Times New Roman"/>
          <w:spacing w:val="25"/>
        </w:rPr>
        <w:t>B．</w:t>
      </w:r>
      <w:r>
        <w:rPr>
          <w:rFonts w:hint="eastAsia" w:ascii="Times New Roman" w:hAnsi="Times New Roman"/>
        </w:rPr>
        <w:t>欧洲各国民族意识的觉醒</w:t>
      </w:r>
    </w:p>
    <w:p w14:paraId="2934851A">
      <w:pPr>
        <w:pStyle w:val="54"/>
        <w:autoSpaceDN w:val="0"/>
        <w:spacing w:line="240" w:lineRule="auto"/>
        <w:ind w:left="420"/>
      </w:pPr>
      <w:r>
        <w:rPr>
          <w:rFonts w:hint="eastAsia" w:ascii="Times New Roman" w:hAnsi="Times New Roman"/>
          <w:spacing w:val="25"/>
        </w:rPr>
        <w:t>C．</w:t>
      </w:r>
      <w:r>
        <w:rPr>
          <w:rFonts w:hint="eastAsia" w:ascii="Times New Roman" w:hAnsi="Times New Roman"/>
        </w:rPr>
        <w:t xml:space="preserve">宗教的号召力进一步加强           </w:t>
      </w:r>
      <w:r>
        <w:rPr>
          <w:rFonts w:hint="eastAsia" w:ascii="Times New Roman" w:hAnsi="Times New Roman"/>
          <w:spacing w:val="25"/>
        </w:rPr>
        <w:t>D．</w:t>
      </w:r>
      <w:r>
        <w:rPr>
          <w:rFonts w:hint="eastAsia" w:ascii="Times New Roman" w:hAnsi="Times New Roman"/>
        </w:rPr>
        <w:t>欧洲专制王权的逐渐衰落</w:t>
      </w:r>
    </w:p>
    <w:p w14:paraId="0B4F3CCF">
      <w:pPr>
        <w:pStyle w:val="53"/>
        <w:spacing w:line="240" w:lineRule="auto"/>
        <w:ind w:left="420" w:hanging="420" w:hangingChars="200"/>
      </w:pPr>
      <w:r>
        <w:rPr>
          <w:rFonts w:hint="eastAsia"/>
        </w:rPr>
        <w:t>14．1980年，广西宜山县等地的村民自选举产生村民委员会，制定村规民约。1982年，村民委员会被写进宪法。1998年，《村民委员会组织法》正式颁布。这表明</w:t>
      </w:r>
    </w:p>
    <w:p w14:paraId="4CAA16AF">
      <w:pPr>
        <w:pStyle w:val="54"/>
        <w:autoSpaceDN w:val="0"/>
        <w:spacing w:line="240" w:lineRule="auto"/>
        <w:ind w:left="420"/>
      </w:pPr>
      <w:r>
        <w:rPr>
          <w:rFonts w:hint="eastAsia" w:ascii="Times New Roman" w:hAnsi="Times New Roman"/>
          <w:spacing w:val="25"/>
        </w:rPr>
        <w:t>A．</w:t>
      </w:r>
      <w:r>
        <w:rPr>
          <w:rFonts w:hint="eastAsia" w:ascii="Times New Roman" w:hAnsi="Times New Roman"/>
        </w:rPr>
        <w:t xml:space="preserve">政府主持基层民主选举工作         </w:t>
      </w:r>
      <w:r>
        <w:rPr>
          <w:rFonts w:hint="eastAsia" w:ascii="Times New Roman" w:hAnsi="Times New Roman"/>
          <w:spacing w:val="25"/>
        </w:rPr>
        <w:t>B．</w:t>
      </w:r>
      <w:r>
        <w:rPr>
          <w:rFonts w:hint="eastAsia" w:ascii="Times New Roman" w:hAnsi="Times New Roman"/>
        </w:rPr>
        <w:t>村民自治纳入了法制化轨道</w:t>
      </w:r>
    </w:p>
    <w:p w14:paraId="373D6361">
      <w:pPr>
        <w:pStyle w:val="54"/>
        <w:autoSpaceDN w:val="0"/>
        <w:spacing w:line="240" w:lineRule="auto"/>
        <w:ind w:left="420"/>
      </w:pPr>
      <w:r>
        <w:rPr>
          <w:rFonts w:hint="eastAsia" w:ascii="Times New Roman" w:hAnsi="Times New Roman"/>
          <w:spacing w:val="25"/>
        </w:rPr>
        <w:t>C．</w:t>
      </w:r>
      <w:r>
        <w:rPr>
          <w:rFonts w:hint="eastAsia" w:ascii="Times New Roman" w:hAnsi="Times New Roman"/>
        </w:rPr>
        <w:t xml:space="preserve">改革开放导致民主制度完善         </w:t>
      </w:r>
      <w:r>
        <w:rPr>
          <w:rFonts w:hint="eastAsia" w:ascii="Times New Roman" w:hAnsi="Times New Roman"/>
          <w:spacing w:val="25"/>
        </w:rPr>
        <w:t>D．</w:t>
      </w:r>
      <w:r>
        <w:rPr>
          <w:rFonts w:hint="eastAsia" w:ascii="Times New Roman" w:hAnsi="Times New Roman"/>
        </w:rPr>
        <w:t>依法治国已经成为社会共识</w:t>
      </w:r>
    </w:p>
    <w:p w14:paraId="54978DD0">
      <w:pPr>
        <w:pStyle w:val="53"/>
        <w:spacing w:line="240" w:lineRule="auto"/>
        <w:ind w:left="420" w:hanging="420" w:hangingChars="200"/>
      </w:pPr>
      <w:r>
        <w:rPr>
          <w:rFonts w:hint="eastAsia"/>
        </w:rPr>
        <w:t>15．1648年的《威斯特伐利亚和约》承认德意志各诸候国的主权，承认新教和天主教享有同等权利的方式，还承认了国家主权的统一性、不可分割性和独立性。这些规定</w:t>
      </w:r>
    </w:p>
    <w:p w14:paraId="69FB86FC">
      <w:pPr>
        <w:pStyle w:val="54"/>
        <w:autoSpaceDN w:val="0"/>
        <w:spacing w:line="240" w:lineRule="auto"/>
        <w:ind w:left="420"/>
      </w:pPr>
      <w:r>
        <w:rPr>
          <w:rFonts w:hint="eastAsia" w:ascii="Times New Roman" w:hAnsi="Times New Roman"/>
          <w:spacing w:val="25"/>
        </w:rPr>
        <w:t>A．</w:t>
      </w:r>
      <w:r>
        <w:rPr>
          <w:rFonts w:hint="eastAsia" w:ascii="Times New Roman" w:hAnsi="Times New Roman"/>
        </w:rPr>
        <w:t xml:space="preserve">推动了德国宗教改革的兴起         </w:t>
      </w:r>
      <w:r>
        <w:rPr>
          <w:rFonts w:hint="eastAsia" w:ascii="Times New Roman" w:hAnsi="Times New Roman"/>
          <w:spacing w:val="25"/>
        </w:rPr>
        <w:t>B．</w:t>
      </w:r>
      <w:r>
        <w:rPr>
          <w:rFonts w:hint="eastAsia" w:ascii="Times New Roman" w:hAnsi="Times New Roman"/>
        </w:rPr>
        <w:t>结束了世界大国间的混战局面</w:t>
      </w:r>
    </w:p>
    <w:p w14:paraId="6C9D5499">
      <w:pPr>
        <w:pStyle w:val="54"/>
        <w:autoSpaceDN w:val="0"/>
        <w:spacing w:line="240" w:lineRule="auto"/>
        <w:ind w:left="420"/>
      </w:pPr>
      <w:r>
        <w:rPr>
          <w:rFonts w:hint="eastAsia" w:ascii="Times New Roman" w:hAnsi="Times New Roman"/>
          <w:spacing w:val="25"/>
        </w:rPr>
        <w:t>C．</w:t>
      </w:r>
      <w:r>
        <w:rPr>
          <w:rFonts w:hint="eastAsia" w:ascii="Times New Roman" w:hAnsi="Times New Roman"/>
        </w:rPr>
        <w:t xml:space="preserve">强化了世俗的主权国家统治         </w:t>
      </w:r>
      <w:r>
        <w:rPr>
          <w:rFonts w:hint="eastAsia" w:ascii="Times New Roman" w:hAnsi="Times New Roman"/>
          <w:spacing w:val="25"/>
        </w:rPr>
        <w:t>D．</w:t>
      </w:r>
      <w:r>
        <w:rPr>
          <w:rFonts w:hint="eastAsia" w:ascii="Times New Roman" w:hAnsi="Times New Roman"/>
        </w:rPr>
        <w:t>促进了德意志民族国家的统一</w:t>
      </w:r>
    </w:p>
    <w:p w14:paraId="09325DC2">
      <w:pPr>
        <w:pStyle w:val="53"/>
        <w:spacing w:line="240" w:lineRule="auto"/>
        <w:ind w:left="420" w:hanging="420" w:hangingChars="200"/>
      </w:pPr>
      <w:r>
        <w:rPr>
          <w:rFonts w:hint="eastAsia"/>
        </w:rPr>
        <w:t>16．下表为近代中国茶叶和生丝出口统计（价值单位：千海关两）据此可知当时中国</w:t>
      </w:r>
    </w:p>
    <w:tbl>
      <w:tblPr>
        <w:tblStyle w:val="12"/>
        <w:tblW w:w="39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386"/>
        <w:gridCol w:w="973"/>
        <w:gridCol w:w="763"/>
        <w:gridCol w:w="763"/>
        <w:gridCol w:w="763"/>
      </w:tblGrid>
      <w:tr w14:paraId="1BC0CB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320" w:type="dxa"/>
            <w:vMerge w:val="restart"/>
            <w:shd w:val="clear" w:color="auto" w:fill="auto"/>
            <w:tcMar>
              <w:left w:w="119" w:type="dxa"/>
              <w:right w:w="119" w:type="dxa"/>
            </w:tcMar>
            <w:vAlign w:val="center"/>
          </w:tcPr>
          <w:p w14:paraId="5F95062F">
            <w:pPr>
              <w:spacing w:line="360" w:lineRule="auto"/>
              <w:jc w:val="center"/>
            </w:pPr>
            <w:r>
              <w:rPr>
                <w:rFonts w:hint="eastAsia" w:ascii="Times New Roman" w:hAnsi="Times New Roman" w:eastAsia="楷体_GB2312"/>
              </w:rPr>
              <w:t>年份</w:t>
            </w:r>
          </w:p>
        </w:tc>
        <w:tc>
          <w:tcPr>
            <w:tcW w:w="1440" w:type="dxa"/>
            <w:gridSpan w:val="2"/>
            <w:shd w:val="clear" w:color="auto" w:fill="auto"/>
            <w:tcMar>
              <w:left w:w="119" w:type="dxa"/>
              <w:right w:w="119" w:type="dxa"/>
            </w:tcMar>
            <w:vAlign w:val="center"/>
          </w:tcPr>
          <w:p w14:paraId="75E5E818">
            <w:pPr>
              <w:spacing w:line="360" w:lineRule="auto"/>
              <w:jc w:val="center"/>
            </w:pPr>
            <w:r>
              <w:rPr>
                <w:rFonts w:hint="eastAsia" w:ascii="Times New Roman" w:hAnsi="Times New Roman" w:eastAsia="楷体_GB2312"/>
              </w:rPr>
              <w:t>茶叶</w:t>
            </w:r>
          </w:p>
        </w:tc>
        <w:tc>
          <w:tcPr>
            <w:tcW w:w="1200" w:type="dxa"/>
            <w:gridSpan w:val="2"/>
            <w:shd w:val="clear" w:color="auto" w:fill="auto"/>
            <w:tcMar>
              <w:left w:w="119" w:type="dxa"/>
              <w:right w:w="119" w:type="dxa"/>
            </w:tcMar>
            <w:vAlign w:val="center"/>
          </w:tcPr>
          <w:p w14:paraId="1C1793BF">
            <w:pPr>
              <w:spacing w:line="360" w:lineRule="auto"/>
              <w:jc w:val="center"/>
            </w:pPr>
            <w:r>
              <w:rPr>
                <w:rFonts w:hint="eastAsia" w:ascii="Times New Roman" w:hAnsi="Times New Roman" w:eastAsia="楷体_GB2312"/>
              </w:rPr>
              <w:t>生丝</w:t>
            </w:r>
          </w:p>
        </w:tc>
      </w:tr>
      <w:tr w14:paraId="456B0A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320" w:type="dxa"/>
            <w:vMerge w:val="continue"/>
            <w:shd w:val="clear" w:color="auto" w:fill="auto"/>
          </w:tcPr>
          <w:p w14:paraId="7481E0CE"/>
        </w:tc>
        <w:tc>
          <w:tcPr>
            <w:tcW w:w="840" w:type="dxa"/>
            <w:shd w:val="clear" w:color="auto" w:fill="auto"/>
            <w:tcMar>
              <w:left w:w="119" w:type="dxa"/>
              <w:right w:w="119" w:type="dxa"/>
            </w:tcMar>
            <w:vAlign w:val="center"/>
          </w:tcPr>
          <w:p w14:paraId="4525566F">
            <w:pPr>
              <w:spacing w:line="360" w:lineRule="auto"/>
              <w:jc w:val="center"/>
            </w:pPr>
            <w:r>
              <w:rPr>
                <w:rFonts w:hint="eastAsia" w:ascii="Times New Roman" w:hAnsi="Times New Roman" w:eastAsia="楷体_GB2312"/>
              </w:rPr>
              <w:t>担数</w:t>
            </w:r>
          </w:p>
        </w:tc>
        <w:tc>
          <w:tcPr>
            <w:tcW w:w="600" w:type="dxa"/>
            <w:shd w:val="clear" w:color="auto" w:fill="auto"/>
            <w:tcMar>
              <w:left w:w="119" w:type="dxa"/>
              <w:right w:w="119" w:type="dxa"/>
            </w:tcMar>
            <w:vAlign w:val="center"/>
          </w:tcPr>
          <w:p w14:paraId="1E19C49E">
            <w:pPr>
              <w:spacing w:line="360" w:lineRule="auto"/>
              <w:jc w:val="center"/>
            </w:pPr>
            <w:r>
              <w:rPr>
                <w:rFonts w:hint="eastAsia" w:ascii="Times New Roman" w:hAnsi="Times New Roman" w:eastAsia="楷体_GB2312"/>
              </w:rPr>
              <w:t>货值</w:t>
            </w:r>
          </w:p>
        </w:tc>
        <w:tc>
          <w:tcPr>
            <w:tcW w:w="600" w:type="dxa"/>
            <w:shd w:val="clear" w:color="auto" w:fill="auto"/>
            <w:tcMar>
              <w:left w:w="119" w:type="dxa"/>
              <w:right w:w="119" w:type="dxa"/>
            </w:tcMar>
            <w:vAlign w:val="center"/>
          </w:tcPr>
          <w:p w14:paraId="4A86F070">
            <w:pPr>
              <w:spacing w:line="360" w:lineRule="auto"/>
              <w:jc w:val="center"/>
            </w:pPr>
            <w:r>
              <w:rPr>
                <w:rFonts w:hint="eastAsia" w:ascii="Times New Roman" w:hAnsi="Times New Roman" w:eastAsia="楷体_GB2312"/>
              </w:rPr>
              <w:t>担数</w:t>
            </w:r>
          </w:p>
        </w:tc>
        <w:tc>
          <w:tcPr>
            <w:tcW w:w="600" w:type="dxa"/>
            <w:shd w:val="clear" w:color="auto" w:fill="auto"/>
            <w:tcMar>
              <w:left w:w="119" w:type="dxa"/>
              <w:right w:w="119" w:type="dxa"/>
            </w:tcMar>
            <w:vAlign w:val="center"/>
          </w:tcPr>
          <w:p w14:paraId="35014257">
            <w:pPr>
              <w:spacing w:line="360" w:lineRule="auto"/>
              <w:jc w:val="center"/>
            </w:pPr>
            <w:r>
              <w:rPr>
                <w:rFonts w:hint="eastAsia" w:ascii="Times New Roman" w:hAnsi="Times New Roman" w:eastAsia="楷体_GB2312"/>
              </w:rPr>
              <w:t>货值</w:t>
            </w:r>
          </w:p>
        </w:tc>
      </w:tr>
      <w:tr w14:paraId="4150FA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320" w:type="dxa"/>
            <w:shd w:val="clear" w:color="auto" w:fill="auto"/>
            <w:tcMar>
              <w:left w:w="119" w:type="dxa"/>
              <w:right w:w="119" w:type="dxa"/>
            </w:tcMar>
            <w:vAlign w:val="center"/>
          </w:tcPr>
          <w:p w14:paraId="3B29AA70">
            <w:pPr>
              <w:spacing w:line="360" w:lineRule="auto"/>
              <w:jc w:val="center"/>
            </w:pPr>
            <w:r>
              <w:rPr>
                <w:rFonts w:hint="eastAsia" w:ascii="Times New Roman" w:hAnsi="Times New Roman" w:eastAsia="楷体_GB2312"/>
              </w:rPr>
              <w:t>1867—1869</w:t>
            </w:r>
          </w:p>
        </w:tc>
        <w:tc>
          <w:tcPr>
            <w:tcW w:w="840" w:type="dxa"/>
            <w:shd w:val="clear" w:color="auto" w:fill="auto"/>
            <w:tcMar>
              <w:left w:w="119" w:type="dxa"/>
              <w:right w:w="119" w:type="dxa"/>
            </w:tcMar>
            <w:vAlign w:val="center"/>
          </w:tcPr>
          <w:p w14:paraId="0C415B0F">
            <w:pPr>
              <w:spacing w:line="360" w:lineRule="auto"/>
              <w:jc w:val="center"/>
            </w:pPr>
            <w:r>
              <w:rPr>
                <w:rFonts w:hint="eastAsia" w:ascii="Times New Roman" w:hAnsi="Times New Roman" w:eastAsia="楷体_GB2312"/>
              </w:rPr>
              <w:t>1427636</w:t>
            </w:r>
          </w:p>
        </w:tc>
        <w:tc>
          <w:tcPr>
            <w:tcW w:w="600" w:type="dxa"/>
            <w:shd w:val="clear" w:color="auto" w:fill="auto"/>
            <w:tcMar>
              <w:left w:w="119" w:type="dxa"/>
              <w:right w:w="119" w:type="dxa"/>
            </w:tcMar>
            <w:vAlign w:val="center"/>
          </w:tcPr>
          <w:p w14:paraId="2BF1A4FD">
            <w:pPr>
              <w:spacing w:line="360" w:lineRule="auto"/>
              <w:jc w:val="center"/>
            </w:pPr>
            <w:r>
              <w:rPr>
                <w:rFonts w:hint="eastAsia" w:ascii="Times New Roman" w:hAnsi="Times New Roman" w:eastAsia="楷体_GB2312"/>
              </w:rPr>
              <w:t>32526</w:t>
            </w:r>
          </w:p>
        </w:tc>
        <w:tc>
          <w:tcPr>
            <w:tcW w:w="600" w:type="dxa"/>
            <w:shd w:val="clear" w:color="auto" w:fill="auto"/>
            <w:tcMar>
              <w:left w:w="119" w:type="dxa"/>
              <w:right w:w="119" w:type="dxa"/>
            </w:tcMar>
            <w:vAlign w:val="center"/>
          </w:tcPr>
          <w:p w14:paraId="36317135">
            <w:pPr>
              <w:spacing w:line="360" w:lineRule="auto"/>
              <w:jc w:val="center"/>
            </w:pPr>
            <w:r>
              <w:rPr>
                <w:rFonts w:hint="eastAsia" w:ascii="Times New Roman" w:hAnsi="Times New Roman" w:eastAsia="楷体_GB2312"/>
              </w:rPr>
              <w:t>50273</w:t>
            </w:r>
          </w:p>
        </w:tc>
        <w:tc>
          <w:tcPr>
            <w:tcW w:w="600" w:type="dxa"/>
            <w:shd w:val="clear" w:color="auto" w:fill="auto"/>
            <w:tcMar>
              <w:left w:w="119" w:type="dxa"/>
              <w:right w:w="119" w:type="dxa"/>
            </w:tcMar>
            <w:vAlign w:val="center"/>
          </w:tcPr>
          <w:p w14:paraId="00D6DA27">
            <w:pPr>
              <w:spacing w:line="360" w:lineRule="auto"/>
              <w:jc w:val="center"/>
            </w:pPr>
            <w:r>
              <w:rPr>
                <w:rFonts w:hint="eastAsia" w:ascii="Times New Roman" w:hAnsi="Times New Roman" w:eastAsia="楷体_GB2312"/>
              </w:rPr>
              <w:t>18250</w:t>
            </w:r>
          </w:p>
        </w:tc>
      </w:tr>
      <w:tr w14:paraId="4AAEAA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320" w:type="dxa"/>
            <w:shd w:val="clear" w:color="auto" w:fill="auto"/>
            <w:tcMar>
              <w:left w:w="119" w:type="dxa"/>
              <w:right w:w="119" w:type="dxa"/>
            </w:tcMar>
            <w:vAlign w:val="center"/>
          </w:tcPr>
          <w:p w14:paraId="68F7CF45">
            <w:pPr>
              <w:spacing w:line="360" w:lineRule="auto"/>
              <w:jc w:val="center"/>
            </w:pPr>
            <w:r>
              <w:rPr>
                <w:rFonts w:hint="eastAsia" w:ascii="Times New Roman" w:hAnsi="Times New Roman" w:eastAsia="楷体_GB2312"/>
              </w:rPr>
              <w:t>1870—18711</w:t>
            </w:r>
          </w:p>
        </w:tc>
        <w:tc>
          <w:tcPr>
            <w:tcW w:w="840" w:type="dxa"/>
            <w:shd w:val="clear" w:color="auto" w:fill="auto"/>
            <w:tcMar>
              <w:left w:w="119" w:type="dxa"/>
              <w:right w:w="119" w:type="dxa"/>
            </w:tcMar>
            <w:vAlign w:val="center"/>
          </w:tcPr>
          <w:p w14:paraId="07C90B1C">
            <w:pPr>
              <w:spacing w:line="360" w:lineRule="auto"/>
              <w:jc w:val="center"/>
            </w:pPr>
            <w:r>
              <w:rPr>
                <w:rFonts w:hint="eastAsia" w:ascii="Times New Roman" w:hAnsi="Times New Roman" w:eastAsia="楷体_GB2312"/>
              </w:rPr>
              <w:t>1635512</w:t>
            </w:r>
          </w:p>
        </w:tc>
        <w:tc>
          <w:tcPr>
            <w:tcW w:w="600" w:type="dxa"/>
            <w:shd w:val="clear" w:color="auto" w:fill="auto"/>
            <w:tcMar>
              <w:left w:w="119" w:type="dxa"/>
              <w:right w:w="119" w:type="dxa"/>
            </w:tcMar>
            <w:vAlign w:val="center"/>
          </w:tcPr>
          <w:p w14:paraId="1FC45C39">
            <w:pPr>
              <w:spacing w:line="360" w:lineRule="auto"/>
              <w:jc w:val="center"/>
            </w:pPr>
            <w:r>
              <w:rPr>
                <w:rFonts w:hint="eastAsia" w:ascii="Times New Roman" w:hAnsi="Times New Roman" w:eastAsia="楷体_GB2312"/>
              </w:rPr>
              <w:t>35153</w:t>
            </w:r>
          </w:p>
        </w:tc>
        <w:tc>
          <w:tcPr>
            <w:tcW w:w="600" w:type="dxa"/>
            <w:shd w:val="clear" w:color="auto" w:fill="auto"/>
            <w:tcMar>
              <w:left w:w="119" w:type="dxa"/>
              <w:right w:w="119" w:type="dxa"/>
            </w:tcMar>
            <w:vAlign w:val="center"/>
          </w:tcPr>
          <w:p w14:paraId="72CF0ADB">
            <w:pPr>
              <w:spacing w:line="360" w:lineRule="auto"/>
              <w:jc w:val="center"/>
            </w:pPr>
            <w:r>
              <w:rPr>
                <w:rFonts w:hint="eastAsia" w:ascii="Times New Roman" w:hAnsi="Times New Roman" w:eastAsia="楷体_GB2312"/>
              </w:rPr>
              <w:t>62015</w:t>
            </w:r>
          </w:p>
        </w:tc>
        <w:tc>
          <w:tcPr>
            <w:tcW w:w="600" w:type="dxa"/>
            <w:shd w:val="clear" w:color="auto" w:fill="auto"/>
            <w:tcMar>
              <w:left w:w="119" w:type="dxa"/>
              <w:right w:w="119" w:type="dxa"/>
            </w:tcMar>
            <w:vAlign w:val="center"/>
          </w:tcPr>
          <w:p w14:paraId="064275C1">
            <w:pPr>
              <w:spacing w:line="360" w:lineRule="auto"/>
              <w:jc w:val="center"/>
            </w:pPr>
            <w:r>
              <w:rPr>
                <w:rFonts w:hint="eastAsia" w:ascii="Times New Roman" w:hAnsi="Times New Roman" w:eastAsia="楷体_GB2312"/>
              </w:rPr>
              <w:t>22426</w:t>
            </w:r>
          </w:p>
        </w:tc>
      </w:tr>
      <w:tr w14:paraId="7B9D43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320" w:type="dxa"/>
            <w:shd w:val="clear" w:color="auto" w:fill="auto"/>
            <w:tcMar>
              <w:left w:w="119" w:type="dxa"/>
              <w:right w:w="119" w:type="dxa"/>
            </w:tcMar>
            <w:vAlign w:val="center"/>
          </w:tcPr>
          <w:p w14:paraId="5A6C5861">
            <w:pPr>
              <w:spacing w:line="360" w:lineRule="auto"/>
              <w:jc w:val="center"/>
            </w:pPr>
            <w:r>
              <w:rPr>
                <w:rFonts w:hint="eastAsia" w:ascii="Times New Roman" w:hAnsi="Times New Roman" w:eastAsia="楷体_GB2312"/>
              </w:rPr>
              <w:t>1875—1879</w:t>
            </w:r>
          </w:p>
        </w:tc>
        <w:tc>
          <w:tcPr>
            <w:tcW w:w="840" w:type="dxa"/>
            <w:shd w:val="clear" w:color="auto" w:fill="auto"/>
            <w:tcMar>
              <w:left w:w="119" w:type="dxa"/>
              <w:right w:w="119" w:type="dxa"/>
            </w:tcMar>
            <w:vAlign w:val="center"/>
          </w:tcPr>
          <w:p w14:paraId="4BC3EA1B">
            <w:pPr>
              <w:spacing w:line="360" w:lineRule="auto"/>
              <w:jc w:val="center"/>
            </w:pPr>
            <w:r>
              <w:rPr>
                <w:rFonts w:hint="eastAsia" w:ascii="Times New Roman" w:hAnsi="Times New Roman" w:eastAsia="楷体_GB2312"/>
              </w:rPr>
              <w:t>1875508</w:t>
            </w:r>
          </w:p>
        </w:tc>
        <w:tc>
          <w:tcPr>
            <w:tcW w:w="600" w:type="dxa"/>
            <w:shd w:val="clear" w:color="auto" w:fill="auto"/>
            <w:tcMar>
              <w:left w:w="119" w:type="dxa"/>
              <w:right w:w="119" w:type="dxa"/>
            </w:tcMar>
            <w:vAlign w:val="center"/>
          </w:tcPr>
          <w:p w14:paraId="2CE70664">
            <w:pPr>
              <w:spacing w:line="360" w:lineRule="auto"/>
              <w:jc w:val="center"/>
            </w:pPr>
            <w:r>
              <w:rPr>
                <w:rFonts w:hint="eastAsia" w:ascii="Times New Roman" w:hAnsi="Times New Roman" w:eastAsia="楷体_GB2312"/>
              </w:rPr>
              <w:t>34393</w:t>
            </w:r>
          </w:p>
        </w:tc>
        <w:tc>
          <w:tcPr>
            <w:tcW w:w="600" w:type="dxa"/>
            <w:shd w:val="clear" w:color="auto" w:fill="auto"/>
            <w:tcMar>
              <w:left w:w="119" w:type="dxa"/>
              <w:right w:w="119" w:type="dxa"/>
            </w:tcMar>
            <w:vAlign w:val="center"/>
          </w:tcPr>
          <w:p w14:paraId="06B297FD">
            <w:pPr>
              <w:spacing w:line="360" w:lineRule="auto"/>
              <w:jc w:val="center"/>
            </w:pPr>
            <w:r>
              <w:rPr>
                <w:rFonts w:hint="eastAsia" w:ascii="Times New Roman" w:hAnsi="Times New Roman" w:eastAsia="楷体_GB2312"/>
              </w:rPr>
              <w:t>73290</w:t>
            </w:r>
          </w:p>
        </w:tc>
        <w:tc>
          <w:tcPr>
            <w:tcW w:w="600" w:type="dxa"/>
            <w:shd w:val="clear" w:color="auto" w:fill="auto"/>
            <w:tcMar>
              <w:left w:w="119" w:type="dxa"/>
              <w:right w:w="119" w:type="dxa"/>
            </w:tcMar>
            <w:vAlign w:val="center"/>
          </w:tcPr>
          <w:p w14:paraId="517982D0">
            <w:pPr>
              <w:spacing w:line="360" w:lineRule="auto"/>
              <w:jc w:val="center"/>
            </w:pPr>
            <w:r>
              <w:rPr>
                <w:rFonts w:hint="eastAsia" w:ascii="Times New Roman" w:hAnsi="Times New Roman" w:eastAsia="楷体_GB2312"/>
              </w:rPr>
              <w:t>22295</w:t>
            </w:r>
          </w:p>
        </w:tc>
      </w:tr>
      <w:tr w14:paraId="65A6C5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320" w:type="dxa"/>
            <w:shd w:val="clear" w:color="auto" w:fill="auto"/>
            <w:tcMar>
              <w:left w:w="119" w:type="dxa"/>
              <w:right w:w="119" w:type="dxa"/>
            </w:tcMar>
            <w:vAlign w:val="center"/>
          </w:tcPr>
          <w:p w14:paraId="509EFD56">
            <w:pPr>
              <w:spacing w:line="360" w:lineRule="auto"/>
              <w:jc w:val="center"/>
            </w:pPr>
            <w:r>
              <w:rPr>
                <w:rFonts w:hint="eastAsia" w:ascii="Times New Roman" w:hAnsi="Times New Roman" w:eastAsia="楷体_GB2312"/>
              </w:rPr>
              <w:t>1880—1884</w:t>
            </w:r>
          </w:p>
        </w:tc>
        <w:tc>
          <w:tcPr>
            <w:tcW w:w="840" w:type="dxa"/>
            <w:shd w:val="clear" w:color="auto" w:fill="auto"/>
            <w:tcMar>
              <w:left w:w="119" w:type="dxa"/>
              <w:right w:w="119" w:type="dxa"/>
            </w:tcMar>
            <w:vAlign w:val="center"/>
          </w:tcPr>
          <w:p w14:paraId="3589DBB5">
            <w:pPr>
              <w:spacing w:line="360" w:lineRule="auto"/>
              <w:jc w:val="center"/>
            </w:pPr>
            <w:r>
              <w:rPr>
                <w:rFonts w:hint="eastAsia" w:ascii="Times New Roman" w:hAnsi="Times New Roman" w:eastAsia="楷体_GB2312"/>
              </w:rPr>
              <w:t>2051007</w:t>
            </w:r>
          </w:p>
        </w:tc>
        <w:tc>
          <w:tcPr>
            <w:tcW w:w="600" w:type="dxa"/>
            <w:shd w:val="clear" w:color="auto" w:fill="auto"/>
            <w:tcMar>
              <w:left w:w="119" w:type="dxa"/>
              <w:right w:w="119" w:type="dxa"/>
            </w:tcMar>
            <w:vAlign w:val="center"/>
          </w:tcPr>
          <w:p w14:paraId="1110871D">
            <w:pPr>
              <w:spacing w:line="360" w:lineRule="auto"/>
              <w:jc w:val="center"/>
            </w:pPr>
            <w:r>
              <w:rPr>
                <w:rFonts w:hint="eastAsia" w:ascii="Times New Roman" w:hAnsi="Times New Roman" w:eastAsia="楷体_GB2312"/>
              </w:rPr>
              <w:t>32236</w:t>
            </w:r>
          </w:p>
        </w:tc>
        <w:tc>
          <w:tcPr>
            <w:tcW w:w="600" w:type="dxa"/>
            <w:shd w:val="clear" w:color="auto" w:fill="auto"/>
            <w:tcMar>
              <w:left w:w="119" w:type="dxa"/>
              <w:right w:w="119" w:type="dxa"/>
            </w:tcMar>
            <w:vAlign w:val="center"/>
          </w:tcPr>
          <w:p w14:paraId="1E28C871">
            <w:pPr>
              <w:spacing w:line="360" w:lineRule="auto"/>
              <w:jc w:val="center"/>
            </w:pPr>
            <w:r>
              <w:rPr>
                <w:rFonts w:hint="eastAsia" w:ascii="Times New Roman" w:hAnsi="Times New Roman" w:eastAsia="楷体_GB2312"/>
              </w:rPr>
              <w:t>69032</w:t>
            </w:r>
          </w:p>
        </w:tc>
        <w:tc>
          <w:tcPr>
            <w:tcW w:w="600" w:type="dxa"/>
            <w:shd w:val="clear" w:color="auto" w:fill="auto"/>
            <w:tcMar>
              <w:left w:w="119" w:type="dxa"/>
              <w:right w:w="119" w:type="dxa"/>
            </w:tcMar>
            <w:vAlign w:val="center"/>
          </w:tcPr>
          <w:p w14:paraId="245B89FF">
            <w:pPr>
              <w:spacing w:line="360" w:lineRule="auto"/>
              <w:jc w:val="center"/>
            </w:pPr>
            <w:r>
              <w:rPr>
                <w:rFonts w:hint="eastAsia" w:ascii="Times New Roman" w:hAnsi="Times New Roman" w:eastAsia="楷体_GB2312"/>
              </w:rPr>
              <w:t>18875</w:t>
            </w:r>
          </w:p>
        </w:tc>
      </w:tr>
      <w:tr w14:paraId="722E11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320" w:type="dxa"/>
            <w:shd w:val="clear" w:color="auto" w:fill="auto"/>
            <w:tcMar>
              <w:left w:w="119" w:type="dxa"/>
              <w:right w:w="119" w:type="dxa"/>
            </w:tcMar>
            <w:vAlign w:val="center"/>
          </w:tcPr>
          <w:p w14:paraId="0AB237A5">
            <w:pPr>
              <w:spacing w:line="360" w:lineRule="auto"/>
              <w:jc w:val="center"/>
            </w:pPr>
            <w:r>
              <w:rPr>
                <w:rFonts w:hint="eastAsia" w:ascii="Times New Roman" w:hAnsi="Times New Roman" w:eastAsia="楷体_GB2312"/>
              </w:rPr>
              <w:t>1885—1889</w:t>
            </w:r>
          </w:p>
        </w:tc>
        <w:tc>
          <w:tcPr>
            <w:tcW w:w="840" w:type="dxa"/>
            <w:shd w:val="clear" w:color="auto" w:fill="auto"/>
            <w:tcMar>
              <w:left w:w="119" w:type="dxa"/>
              <w:right w:w="119" w:type="dxa"/>
            </w:tcMar>
            <w:vAlign w:val="center"/>
          </w:tcPr>
          <w:p w14:paraId="3B1B69FC">
            <w:pPr>
              <w:spacing w:line="360" w:lineRule="auto"/>
              <w:jc w:val="center"/>
            </w:pPr>
            <w:r>
              <w:rPr>
                <w:rFonts w:hint="eastAsia" w:ascii="Times New Roman" w:hAnsi="Times New Roman" w:eastAsia="楷体_GB2312"/>
              </w:rPr>
              <w:t>2108735</w:t>
            </w:r>
          </w:p>
        </w:tc>
        <w:tc>
          <w:tcPr>
            <w:tcW w:w="600" w:type="dxa"/>
            <w:shd w:val="clear" w:color="auto" w:fill="auto"/>
            <w:tcMar>
              <w:left w:w="119" w:type="dxa"/>
              <w:right w:w="119" w:type="dxa"/>
            </w:tcMar>
            <w:vAlign w:val="center"/>
          </w:tcPr>
          <w:p w14:paraId="5975F0B6">
            <w:pPr>
              <w:spacing w:line="360" w:lineRule="auto"/>
              <w:jc w:val="center"/>
            </w:pPr>
            <w:r>
              <w:rPr>
                <w:rFonts w:hint="eastAsia" w:ascii="Times New Roman" w:hAnsi="Times New Roman" w:eastAsia="楷体_GB2312"/>
              </w:rPr>
              <w:t>30873</w:t>
            </w:r>
          </w:p>
        </w:tc>
        <w:tc>
          <w:tcPr>
            <w:tcW w:w="600" w:type="dxa"/>
            <w:shd w:val="clear" w:color="auto" w:fill="auto"/>
            <w:tcMar>
              <w:left w:w="119" w:type="dxa"/>
              <w:right w:w="119" w:type="dxa"/>
            </w:tcMar>
            <w:vAlign w:val="center"/>
          </w:tcPr>
          <w:p w14:paraId="5AC50639">
            <w:pPr>
              <w:spacing w:line="360" w:lineRule="auto"/>
              <w:jc w:val="center"/>
            </w:pPr>
            <w:r>
              <w:rPr>
                <w:rFonts w:hint="eastAsia" w:ascii="Times New Roman" w:hAnsi="Times New Roman" w:eastAsia="楷体_GB2312"/>
              </w:rPr>
              <w:t>76663</w:t>
            </w:r>
          </w:p>
        </w:tc>
        <w:tc>
          <w:tcPr>
            <w:tcW w:w="600" w:type="dxa"/>
            <w:shd w:val="clear" w:color="auto" w:fill="auto"/>
            <w:tcMar>
              <w:left w:w="119" w:type="dxa"/>
              <w:right w:w="119" w:type="dxa"/>
            </w:tcMar>
            <w:vAlign w:val="center"/>
          </w:tcPr>
          <w:p w14:paraId="313C0481">
            <w:pPr>
              <w:spacing w:line="360" w:lineRule="auto"/>
              <w:jc w:val="center"/>
            </w:pPr>
            <w:r>
              <w:rPr>
                <w:rFonts w:hint="eastAsia" w:ascii="Times New Roman" w:hAnsi="Times New Roman" w:eastAsia="楷体_GB2312"/>
              </w:rPr>
              <w:t>19677</w:t>
            </w:r>
          </w:p>
        </w:tc>
      </w:tr>
    </w:tbl>
    <w:p w14:paraId="57BA8686">
      <w:pPr>
        <w:pStyle w:val="54"/>
        <w:autoSpaceDN w:val="0"/>
        <w:spacing w:line="240" w:lineRule="auto"/>
        <w:ind w:left="420"/>
      </w:pPr>
      <w:r>
        <w:rPr>
          <w:rFonts w:hint="eastAsia" w:ascii="Times New Roman" w:hAnsi="Times New Roman"/>
          <w:spacing w:val="25"/>
        </w:rPr>
        <w:t>A．</w:t>
      </w:r>
      <w:r>
        <w:rPr>
          <w:rFonts w:hint="eastAsia" w:ascii="Times New Roman" w:hAnsi="Times New Roman"/>
        </w:rPr>
        <w:t xml:space="preserve">农产品商品化逐步加快             </w:t>
      </w:r>
      <w:r>
        <w:rPr>
          <w:rFonts w:hint="eastAsia" w:ascii="Times New Roman" w:hAnsi="Times New Roman"/>
          <w:spacing w:val="25"/>
        </w:rPr>
        <w:t>B．</w:t>
      </w:r>
      <w:r>
        <w:rPr>
          <w:rFonts w:hint="eastAsia" w:ascii="Times New Roman" w:hAnsi="Times New Roman"/>
        </w:rPr>
        <w:t>卷入世界市场程度加深</w:t>
      </w:r>
    </w:p>
    <w:p w14:paraId="641EEFCD">
      <w:pPr>
        <w:pStyle w:val="54"/>
        <w:autoSpaceDN w:val="0"/>
        <w:spacing w:line="240" w:lineRule="auto"/>
        <w:ind w:left="420"/>
      </w:pPr>
      <w:r>
        <w:rPr>
          <w:rFonts w:hint="eastAsia" w:ascii="Times New Roman" w:hAnsi="Times New Roman"/>
          <w:spacing w:val="25"/>
        </w:rPr>
        <w:t>C．</w:t>
      </w:r>
      <w:r>
        <w:rPr>
          <w:rFonts w:hint="eastAsia" w:ascii="Times New Roman" w:hAnsi="Times New Roman"/>
        </w:rPr>
        <w:t xml:space="preserve">市场主导权被列强控制             </w:t>
      </w:r>
      <w:r>
        <w:rPr>
          <w:rFonts w:hint="eastAsia" w:ascii="Times New Roman" w:hAnsi="Times New Roman"/>
          <w:spacing w:val="25"/>
        </w:rPr>
        <w:t>D．</w:t>
      </w:r>
      <w:r>
        <w:rPr>
          <w:rFonts w:hint="eastAsia" w:ascii="Times New Roman" w:hAnsi="Times New Roman"/>
        </w:rPr>
        <w:t>外贸入超情况日益严重</w:t>
      </w:r>
    </w:p>
    <w:p w14:paraId="3900C4C6">
      <w:pPr>
        <w:pStyle w:val="53"/>
        <w:spacing w:line="240" w:lineRule="auto"/>
        <w:ind w:left="420" w:hanging="420" w:hangingChars="200"/>
      </w:pPr>
      <w:r>
        <w:rPr>
          <w:rFonts w:hint="eastAsia"/>
        </w:rPr>
        <w:t>17．1960年，卫生部在《关于全国西医学习中医经验交流座谈会情况的报告》中指出，“不少疑难病症如晚期血吸虫病、流行性乙型脑炎、聋哑、再生障碍性贫血等，经过中西医结合治疗，也有显著的效果，其中有一些的治疗效果已高于国际先进水平”。这给我们的直接启示是</w:t>
      </w:r>
    </w:p>
    <w:p w14:paraId="56A250A3">
      <w:pPr>
        <w:pStyle w:val="54"/>
        <w:autoSpaceDN w:val="0"/>
        <w:spacing w:line="240" w:lineRule="auto"/>
        <w:ind w:left="420"/>
      </w:pPr>
      <w:r>
        <w:rPr>
          <w:rFonts w:hint="eastAsia" w:ascii="Times New Roman" w:hAnsi="Times New Roman"/>
          <w:spacing w:val="25"/>
        </w:rPr>
        <w:t>A．</w:t>
      </w:r>
      <w:r>
        <w:rPr>
          <w:rFonts w:hint="eastAsia" w:ascii="Times New Roman" w:hAnsi="Times New Roman"/>
        </w:rPr>
        <w:t xml:space="preserve">坚持国家建构疾病防治体系         </w:t>
      </w:r>
      <w:r>
        <w:rPr>
          <w:rFonts w:hint="eastAsia" w:ascii="Times New Roman" w:hAnsi="Times New Roman"/>
          <w:spacing w:val="25"/>
        </w:rPr>
        <w:t>B．</w:t>
      </w:r>
      <w:r>
        <w:rPr>
          <w:rFonts w:hint="eastAsia" w:ascii="Times New Roman" w:hAnsi="Times New Roman"/>
        </w:rPr>
        <w:t>弘扬中国优秀传统文化</w:t>
      </w:r>
    </w:p>
    <w:p w14:paraId="08344775">
      <w:pPr>
        <w:pStyle w:val="54"/>
        <w:autoSpaceDN w:val="0"/>
        <w:spacing w:line="240" w:lineRule="auto"/>
        <w:ind w:left="420"/>
      </w:pPr>
      <w:r>
        <w:rPr>
          <w:rFonts w:hint="eastAsia" w:ascii="Times New Roman" w:hAnsi="Times New Roman"/>
          <w:spacing w:val="25"/>
        </w:rPr>
        <w:t>C．</w:t>
      </w:r>
      <w:r>
        <w:rPr>
          <w:rFonts w:hint="eastAsia" w:ascii="Times New Roman" w:hAnsi="Times New Roman"/>
        </w:rPr>
        <w:t xml:space="preserve">不同科技文化交流取长补短         </w:t>
      </w:r>
      <w:r>
        <w:rPr>
          <w:rFonts w:hint="eastAsia" w:ascii="Times New Roman" w:hAnsi="Times New Roman"/>
          <w:spacing w:val="25"/>
        </w:rPr>
        <w:t>D．</w:t>
      </w:r>
      <w:r>
        <w:rPr>
          <w:rFonts w:hint="eastAsia" w:ascii="Times New Roman" w:hAnsi="Times New Roman"/>
        </w:rPr>
        <w:t>西医学习中医才能发展</w:t>
      </w:r>
    </w:p>
    <w:p w14:paraId="4D249E5A">
      <w:pPr>
        <w:pStyle w:val="53"/>
        <w:spacing w:line="240" w:lineRule="auto"/>
        <w:ind w:left="420" w:hanging="420" w:hangingChars="200"/>
      </w:pPr>
      <w:r>
        <w:rPr>
          <w:rFonts w:hint="eastAsia"/>
        </w:rPr>
        <w:t>18．伴随着工业革命的发展，18世纪的英国享乐主义盛行。在不到100万人口的伦敦，就有小偷1万余人。白天乞丐成群，晚上则明火执仗的抢劫。这反映了当时英国</w:t>
      </w:r>
    </w:p>
    <w:p w14:paraId="2C4C0397">
      <w:pPr>
        <w:pStyle w:val="54"/>
        <w:autoSpaceDN w:val="0"/>
        <w:spacing w:line="240" w:lineRule="auto"/>
        <w:ind w:left="420"/>
      </w:pPr>
      <w:r>
        <w:rPr>
          <w:rFonts w:hint="eastAsia" w:ascii="Times New Roman" w:hAnsi="Times New Roman"/>
          <w:spacing w:val="25"/>
        </w:rPr>
        <w:t>A．</w:t>
      </w:r>
      <w:r>
        <w:rPr>
          <w:rFonts w:hint="eastAsia" w:ascii="Times New Roman" w:hAnsi="Times New Roman"/>
        </w:rPr>
        <w:t xml:space="preserve">阶级矛盾空前激化                 </w:t>
      </w:r>
      <w:r>
        <w:rPr>
          <w:rFonts w:hint="eastAsia" w:ascii="Times New Roman" w:hAnsi="Times New Roman"/>
          <w:spacing w:val="25"/>
        </w:rPr>
        <w:t>B．</w:t>
      </w:r>
      <w:r>
        <w:rPr>
          <w:rFonts w:hint="eastAsia" w:ascii="Times New Roman" w:hAnsi="Times New Roman"/>
        </w:rPr>
        <w:t>社会问题亟待解决</w:t>
      </w:r>
    </w:p>
    <w:p w14:paraId="069F6A22">
      <w:pPr>
        <w:pStyle w:val="54"/>
        <w:autoSpaceDN w:val="0"/>
        <w:spacing w:line="240" w:lineRule="auto"/>
        <w:ind w:left="420"/>
      </w:pPr>
      <w:r>
        <w:rPr>
          <w:rFonts w:hint="eastAsia" w:ascii="Times New Roman" w:hAnsi="Times New Roman"/>
          <w:spacing w:val="25"/>
        </w:rPr>
        <w:t>C．</w:t>
      </w:r>
      <w:r>
        <w:rPr>
          <w:rFonts w:hint="eastAsia" w:ascii="Times New Roman" w:hAnsi="Times New Roman"/>
        </w:rPr>
        <w:t xml:space="preserve">经济危机影响广泛                 </w:t>
      </w:r>
      <w:r>
        <w:rPr>
          <w:rFonts w:hint="eastAsia" w:ascii="Times New Roman" w:hAnsi="Times New Roman"/>
          <w:spacing w:val="25"/>
        </w:rPr>
        <w:t>D．</w:t>
      </w:r>
      <w:r>
        <w:rPr>
          <w:rFonts w:hint="eastAsia" w:ascii="Times New Roman" w:hAnsi="Times New Roman"/>
        </w:rPr>
        <w:t>人类活动蓬勃发展</w:t>
      </w:r>
    </w:p>
    <w:p w14:paraId="140A61BA">
      <w:pPr>
        <w:pStyle w:val="53"/>
        <w:spacing w:line="240" w:lineRule="auto"/>
        <w:ind w:left="420" w:hanging="420" w:hangingChars="200"/>
      </w:pPr>
      <w:r>
        <w:rPr>
          <w:rFonts w:hint="eastAsia"/>
        </w:rPr>
        <w:t>19．研读下列一组历史图片，从中可解读出的正确信息是，这些历史图片</w:t>
      </w:r>
    </w:p>
    <w:p w14:paraId="38B55B4F">
      <w:pPr>
        <w:pStyle w:val="53"/>
        <w:spacing w:line="240" w:lineRule="auto"/>
        <w:ind w:left="420"/>
        <w:jc w:val="center"/>
      </w:pPr>
      <w:r>
        <w:rPr>
          <w:rFonts w:hint="eastAsia"/>
        </w:rPr>
        <w:pict>
          <v:shape id="_x0000_i1026" o:spt="75" type="#_x0000_t75" style="height:106.2pt;width:354.3pt;" filled="f" o:preferrelative="t" stroked="f" coordsize="21600,21600">
            <v:path/>
            <v:fill on="f" focussize="0,0"/>
            <v:stroke on="f" joinstyle="miter"/>
            <v:imagedata r:id="rId8" o:title=""/>
            <o:lock v:ext="edit" aspectratio="t"/>
            <w10:wrap type="none"/>
            <w10:anchorlock/>
          </v:shape>
        </w:pict>
      </w:r>
    </w:p>
    <w:p w14:paraId="1BEC8DA7">
      <w:pPr>
        <w:pStyle w:val="54"/>
        <w:autoSpaceDN w:val="0"/>
        <w:spacing w:line="240" w:lineRule="auto"/>
        <w:ind w:left="420"/>
      </w:pPr>
      <w:r>
        <w:rPr>
          <w:rFonts w:hint="eastAsia" w:ascii="Times New Roman" w:hAnsi="Times New Roman"/>
          <w:spacing w:val="25"/>
        </w:rPr>
        <w:t>A．</w:t>
      </w:r>
      <w:r>
        <w:rPr>
          <w:rFonts w:hint="eastAsia" w:ascii="Times New Roman" w:hAnsi="Times New Roman"/>
        </w:rPr>
        <w:t xml:space="preserve">体现了浪漫主义的艺术风格         </w:t>
      </w:r>
      <w:r>
        <w:rPr>
          <w:rFonts w:hint="eastAsia" w:ascii="Times New Roman" w:hAnsi="Times New Roman"/>
          <w:spacing w:val="25"/>
        </w:rPr>
        <w:t>B．</w:t>
      </w:r>
      <w:r>
        <w:rPr>
          <w:rFonts w:hint="eastAsia" w:ascii="Times New Roman" w:hAnsi="Times New Roman"/>
        </w:rPr>
        <w:t>呈现了古代手工技术的概貌</w:t>
      </w:r>
    </w:p>
    <w:p w14:paraId="41559DDA">
      <w:pPr>
        <w:pStyle w:val="54"/>
        <w:autoSpaceDN w:val="0"/>
        <w:spacing w:line="240" w:lineRule="auto"/>
        <w:ind w:left="420"/>
      </w:pPr>
      <w:r>
        <w:rPr>
          <w:rFonts w:hint="eastAsia" w:ascii="Times New Roman" w:hAnsi="Times New Roman"/>
          <w:spacing w:val="25"/>
        </w:rPr>
        <w:t>C．</w:t>
      </w:r>
      <w:r>
        <w:rPr>
          <w:rFonts w:hint="eastAsia" w:ascii="Times New Roman" w:hAnsi="Times New Roman"/>
        </w:rPr>
        <w:t xml:space="preserve">可为古代体育文化提供佐证         </w:t>
      </w:r>
      <w:r>
        <w:rPr>
          <w:rFonts w:hint="eastAsia" w:ascii="Times New Roman" w:hAnsi="Times New Roman"/>
          <w:spacing w:val="25"/>
        </w:rPr>
        <w:t>D．</w:t>
      </w:r>
      <w:r>
        <w:rPr>
          <w:rFonts w:hint="eastAsia" w:ascii="Times New Roman" w:hAnsi="Times New Roman"/>
        </w:rPr>
        <w:t>反映了工艺品影响体育发展</w:t>
      </w:r>
    </w:p>
    <w:p w14:paraId="25D175AE">
      <w:pPr>
        <w:pStyle w:val="53"/>
        <w:spacing w:line="240" w:lineRule="auto"/>
        <w:ind w:left="420" w:hanging="420" w:hangingChars="200"/>
      </w:pPr>
      <w:r>
        <w:rPr>
          <w:rFonts w:hint="eastAsia"/>
        </w:rPr>
        <w:t>20．2022年美联储在6月、7月以及9月连续3次加息75个基点，利率由1.75%达到了3.25%，加剧跨境资本流动，导致美元快速回流美国；欧元、英镑、日元等经济体货币贬值压力加大，部分新兴经济体深陷债务危机，甚至将重蹈上世纪滞胀的覆辙。这主要反映了</w:t>
      </w:r>
    </w:p>
    <w:p w14:paraId="701E1CC9">
      <w:pPr>
        <w:pStyle w:val="54"/>
        <w:autoSpaceDN w:val="0"/>
        <w:spacing w:line="240" w:lineRule="auto"/>
        <w:ind w:left="420"/>
      </w:pPr>
      <w:r>
        <w:rPr>
          <w:rFonts w:hint="eastAsia" w:ascii="Times New Roman" w:hAnsi="Times New Roman"/>
          <w:spacing w:val="25"/>
        </w:rPr>
        <w:t>A．</w:t>
      </w:r>
      <w:r>
        <w:rPr>
          <w:rFonts w:hint="eastAsia" w:ascii="Times New Roman" w:hAnsi="Times New Roman"/>
        </w:rPr>
        <w:t xml:space="preserve">世界经济危机周而复始             </w:t>
      </w:r>
      <w:r>
        <w:rPr>
          <w:rFonts w:hint="eastAsia" w:ascii="Times New Roman" w:hAnsi="Times New Roman"/>
          <w:spacing w:val="25"/>
        </w:rPr>
        <w:t>B．</w:t>
      </w:r>
      <w:r>
        <w:rPr>
          <w:rFonts w:hint="eastAsia" w:ascii="Times New Roman" w:hAnsi="Times New Roman"/>
        </w:rPr>
        <w:t>世界金融体系亟需调整</w:t>
      </w:r>
    </w:p>
    <w:p w14:paraId="51029714">
      <w:pPr>
        <w:pStyle w:val="54"/>
        <w:autoSpaceDN w:val="0"/>
        <w:spacing w:line="240" w:lineRule="auto"/>
        <w:ind w:left="420"/>
        <w:rPr>
          <w:rFonts w:hint="eastAsia" w:ascii="Times New Roman" w:hAnsi="Times New Roman"/>
        </w:rPr>
      </w:pPr>
      <w:r>
        <w:rPr>
          <w:rFonts w:hint="eastAsia" w:ascii="Times New Roman" w:hAnsi="Times New Roman"/>
          <w:spacing w:val="25"/>
        </w:rPr>
        <w:t>C．</w:t>
      </w:r>
      <w:r>
        <w:rPr>
          <w:rFonts w:hint="eastAsia" w:ascii="Times New Roman" w:hAnsi="Times New Roman"/>
        </w:rPr>
        <w:t xml:space="preserve">新兴经济体经济基础薄弱           </w:t>
      </w:r>
      <w:r>
        <w:rPr>
          <w:rFonts w:hint="eastAsia" w:ascii="Times New Roman" w:hAnsi="Times New Roman"/>
          <w:spacing w:val="25"/>
        </w:rPr>
        <w:t>D．</w:t>
      </w:r>
      <w:r>
        <w:rPr>
          <w:rFonts w:hint="eastAsia" w:ascii="Times New Roman" w:hAnsi="Times New Roman"/>
        </w:rPr>
        <w:t>布雷顿森林体系彻底崩溃</w:t>
      </w:r>
    </w:p>
    <w:p w14:paraId="1B899D5B">
      <w:pPr>
        <w:pStyle w:val="54"/>
        <w:autoSpaceDN w:val="0"/>
        <w:spacing w:line="240" w:lineRule="auto"/>
        <w:ind w:left="420"/>
        <w:rPr>
          <w:rFonts w:hint="eastAsia" w:ascii="Times New Roman" w:hAnsi="Times New Roman"/>
        </w:rPr>
      </w:pPr>
    </w:p>
    <w:p w14:paraId="49FDD2EB">
      <w:pPr>
        <w:pStyle w:val="54"/>
        <w:autoSpaceDN w:val="0"/>
        <w:spacing w:line="240" w:lineRule="auto"/>
        <w:rPr>
          <w:rFonts w:ascii="Times New Roman" w:hAnsi="Times New Roman"/>
        </w:rPr>
      </w:pPr>
      <w:r>
        <w:rPr>
          <w:rFonts w:hint="eastAsia"/>
        </w:rPr>
        <w:t>第21-25题每小题3分</w:t>
      </w:r>
    </w:p>
    <w:p w14:paraId="13D82FF8">
      <w:pPr>
        <w:pStyle w:val="53"/>
        <w:spacing w:line="240" w:lineRule="auto"/>
        <w:ind w:left="420" w:hanging="420" w:hangingChars="200"/>
      </w:pPr>
      <w:r>
        <w:rPr>
          <w:rFonts w:hint="eastAsia"/>
        </w:rPr>
        <w:t>21．丝绸的出口是汉朝贸易体系的一部分，除中国外还有五方参加，它们是罗马、中亚、印度、印度尼西亚和非洲，中亚的非汉族赶牲畜人充当了中国货物的运输人或向导，中国从中亚取得马匹和璞玉，最后，丝绸运到罗马。材料主要说明</w:t>
      </w:r>
    </w:p>
    <w:p w14:paraId="008D31EA">
      <w:pPr>
        <w:pStyle w:val="54"/>
        <w:autoSpaceDN w:val="0"/>
        <w:spacing w:line="240" w:lineRule="auto"/>
        <w:ind w:left="420"/>
      </w:pPr>
      <w:r>
        <w:rPr>
          <w:rFonts w:hint="eastAsia" w:ascii="Times New Roman" w:hAnsi="Times New Roman"/>
          <w:spacing w:val="25"/>
        </w:rPr>
        <w:t>A．</w:t>
      </w:r>
      <w:r>
        <w:rPr>
          <w:rFonts w:hint="eastAsia" w:ascii="Times New Roman" w:hAnsi="Times New Roman"/>
        </w:rPr>
        <w:t xml:space="preserve">沿线众多国家共建了丝绸之路       </w:t>
      </w:r>
      <w:r>
        <w:rPr>
          <w:rFonts w:hint="eastAsia" w:ascii="Times New Roman" w:hAnsi="Times New Roman"/>
          <w:spacing w:val="25"/>
        </w:rPr>
        <w:t>B．</w:t>
      </w:r>
      <w:r>
        <w:rPr>
          <w:rFonts w:hint="eastAsia" w:ascii="Times New Roman" w:hAnsi="Times New Roman"/>
        </w:rPr>
        <w:t>贸易是开辟丝路的主要目的</w:t>
      </w:r>
    </w:p>
    <w:p w14:paraId="4E71FC61">
      <w:pPr>
        <w:pStyle w:val="54"/>
        <w:autoSpaceDN w:val="0"/>
        <w:spacing w:line="240" w:lineRule="auto"/>
        <w:ind w:left="420"/>
      </w:pPr>
      <w:r>
        <w:rPr>
          <w:rFonts w:hint="eastAsia" w:ascii="Times New Roman" w:hAnsi="Times New Roman"/>
          <w:spacing w:val="25"/>
        </w:rPr>
        <w:t>C．</w:t>
      </w:r>
      <w:r>
        <w:rPr>
          <w:rFonts w:hint="eastAsia" w:ascii="Times New Roman" w:hAnsi="Times New Roman"/>
        </w:rPr>
        <w:t xml:space="preserve">中国与罗马有直接的贸易交往       </w:t>
      </w:r>
      <w:r>
        <w:rPr>
          <w:rFonts w:hint="eastAsia" w:ascii="Times New Roman" w:hAnsi="Times New Roman"/>
          <w:spacing w:val="25"/>
        </w:rPr>
        <w:t>D．</w:t>
      </w:r>
      <w:r>
        <w:rPr>
          <w:rFonts w:hint="eastAsia" w:ascii="Times New Roman" w:hAnsi="Times New Roman"/>
        </w:rPr>
        <w:t>丝绸之路沟通了东西方文明</w:t>
      </w:r>
    </w:p>
    <w:p w14:paraId="3C89B443">
      <w:pPr>
        <w:pStyle w:val="53"/>
        <w:spacing w:line="240" w:lineRule="auto"/>
        <w:ind w:left="420" w:hanging="420" w:hangingChars="200"/>
      </w:pPr>
      <w:r>
        <w:rPr>
          <w:rFonts w:hint="eastAsia"/>
        </w:rPr>
        <w:t>22．据图1日尔曼人迁徙过程中建立的诸多王国可以推知，日耳曼人的迁徙</w:t>
      </w:r>
    </w:p>
    <w:p w14:paraId="02F41786">
      <w:pPr>
        <w:pStyle w:val="53"/>
        <w:spacing w:line="240" w:lineRule="auto"/>
        <w:ind w:left="420"/>
        <w:jc w:val="center"/>
      </w:pPr>
      <w:r>
        <w:rPr>
          <w:rFonts w:hint="eastAsia"/>
        </w:rPr>
        <w:pict>
          <v:shape id="_x0000_i1027" o:spt="75" type="#_x0000_t75" style="height:175.45pt;width:280.5pt;" filled="f" o:preferrelative="t" stroked="f" coordsize="21600,21600">
            <v:path/>
            <v:fill on="f" focussize="0,0"/>
            <v:stroke on="f" joinstyle="miter"/>
            <v:imagedata r:id="rId9" o:title=""/>
            <o:lock v:ext="edit" aspectratio="t"/>
            <w10:wrap type="none"/>
            <w10:anchorlock/>
          </v:shape>
        </w:pict>
      </w:r>
    </w:p>
    <w:p w14:paraId="03D4A995">
      <w:pPr>
        <w:pStyle w:val="53"/>
        <w:spacing w:line="240" w:lineRule="auto"/>
        <w:ind w:left="420"/>
        <w:jc w:val="center"/>
      </w:pPr>
      <w:r>
        <w:rPr>
          <w:rFonts w:hint="eastAsia"/>
        </w:rPr>
        <w:t>图1</w:t>
      </w:r>
    </w:p>
    <w:p w14:paraId="7E97F569">
      <w:pPr>
        <w:pStyle w:val="54"/>
        <w:autoSpaceDN w:val="0"/>
        <w:spacing w:line="240" w:lineRule="auto"/>
        <w:ind w:left="420"/>
      </w:pPr>
      <w:r>
        <w:rPr>
          <w:rFonts w:hint="eastAsia" w:ascii="Times New Roman" w:hAnsi="Times New Roman"/>
          <w:spacing w:val="25"/>
        </w:rPr>
        <w:t>A．</w:t>
      </w:r>
      <w:r>
        <w:rPr>
          <w:rFonts w:hint="eastAsia" w:ascii="Times New Roman" w:hAnsi="Times New Roman"/>
        </w:rPr>
        <w:t xml:space="preserve">打断了欧洲的农耕文明进程         </w:t>
      </w:r>
      <w:r>
        <w:rPr>
          <w:rFonts w:hint="eastAsia" w:ascii="Times New Roman" w:hAnsi="Times New Roman"/>
          <w:spacing w:val="25"/>
        </w:rPr>
        <w:t>B．</w:t>
      </w:r>
      <w:r>
        <w:rPr>
          <w:rFonts w:hint="eastAsia" w:ascii="Times New Roman" w:hAnsi="Times New Roman"/>
        </w:rPr>
        <w:t>直接原因是阿拉伯人扩张．</w:t>
      </w:r>
    </w:p>
    <w:p w14:paraId="4FAE2971">
      <w:pPr>
        <w:pStyle w:val="54"/>
        <w:autoSpaceDN w:val="0"/>
        <w:spacing w:line="240" w:lineRule="auto"/>
        <w:ind w:left="420"/>
      </w:pPr>
      <w:r>
        <w:rPr>
          <w:rFonts w:hint="eastAsia" w:ascii="Times New Roman" w:hAnsi="Times New Roman"/>
          <w:spacing w:val="25"/>
        </w:rPr>
        <w:t>C．</w:t>
      </w:r>
      <w:r>
        <w:rPr>
          <w:rFonts w:hint="eastAsia" w:ascii="Times New Roman" w:hAnsi="Times New Roman"/>
        </w:rPr>
        <w:t xml:space="preserve">促进了区域文化交流与发展         </w:t>
      </w:r>
      <w:r>
        <w:rPr>
          <w:rFonts w:hint="eastAsia" w:ascii="Times New Roman" w:hAnsi="Times New Roman"/>
          <w:spacing w:val="25"/>
        </w:rPr>
        <w:t>D．</w:t>
      </w:r>
      <w:r>
        <w:rPr>
          <w:rFonts w:hint="eastAsia" w:ascii="Times New Roman" w:hAnsi="Times New Roman"/>
        </w:rPr>
        <w:t>强势征服了罗马帝国文化</w:t>
      </w:r>
    </w:p>
    <w:p w14:paraId="67CED7DC">
      <w:pPr>
        <w:pStyle w:val="53"/>
        <w:spacing w:line="240" w:lineRule="auto"/>
        <w:ind w:left="420" w:hanging="420" w:hangingChars="200"/>
      </w:pPr>
      <w:r>
        <w:rPr>
          <w:rFonts w:hint="eastAsia"/>
        </w:rPr>
        <w:t>23．《黄帝内经》曰：“夫人生于地，悬命于天，天地合气，命之曰人”“人以天地之气生，四时之法成”，并反复强调“（人）与天地相应，与四时相副，人参天地”。《黄帝内经》中的这一思想</w:t>
      </w:r>
    </w:p>
    <w:p w14:paraId="43A6201C">
      <w:pPr>
        <w:pStyle w:val="54"/>
        <w:autoSpaceDN w:val="0"/>
        <w:spacing w:line="240" w:lineRule="auto"/>
        <w:ind w:left="420"/>
      </w:pPr>
      <w:r>
        <w:rPr>
          <w:rFonts w:hint="eastAsia" w:ascii="Times New Roman" w:hAnsi="Times New Roman"/>
          <w:spacing w:val="25"/>
        </w:rPr>
        <w:t>A．</w:t>
      </w:r>
      <w:r>
        <w:rPr>
          <w:rFonts w:hint="eastAsia" w:ascii="Times New Roman" w:hAnsi="Times New Roman"/>
        </w:rPr>
        <w:t xml:space="preserve">强调了人与自然应和谐统一         </w:t>
      </w:r>
      <w:r>
        <w:rPr>
          <w:rFonts w:hint="eastAsia" w:ascii="Times New Roman" w:hAnsi="Times New Roman"/>
          <w:spacing w:val="25"/>
        </w:rPr>
        <w:t>B．</w:t>
      </w:r>
      <w:r>
        <w:rPr>
          <w:rFonts w:hint="eastAsia" w:ascii="Times New Roman" w:hAnsi="Times New Roman"/>
        </w:rPr>
        <w:t>坚持了道家无为而治理论</w:t>
      </w:r>
    </w:p>
    <w:p w14:paraId="2E18F05E">
      <w:pPr>
        <w:pStyle w:val="54"/>
        <w:autoSpaceDN w:val="0"/>
        <w:spacing w:line="240" w:lineRule="auto"/>
        <w:ind w:left="420"/>
      </w:pPr>
      <w:r>
        <w:rPr>
          <w:rFonts w:hint="eastAsia" w:ascii="Times New Roman" w:hAnsi="Times New Roman"/>
          <w:spacing w:val="25"/>
        </w:rPr>
        <w:t>C．</w:t>
      </w:r>
      <w:r>
        <w:rPr>
          <w:rFonts w:hint="eastAsia" w:ascii="Times New Roman" w:hAnsi="Times New Roman"/>
        </w:rPr>
        <w:t xml:space="preserve">彰显了实践经验体系的建构         </w:t>
      </w:r>
      <w:r>
        <w:rPr>
          <w:rFonts w:hint="eastAsia" w:ascii="Times New Roman" w:hAnsi="Times New Roman"/>
          <w:spacing w:val="25"/>
        </w:rPr>
        <w:t>D．</w:t>
      </w:r>
      <w:r>
        <w:rPr>
          <w:rFonts w:hint="eastAsia" w:ascii="Times New Roman" w:hAnsi="Times New Roman"/>
        </w:rPr>
        <w:t>蕴含了朴素的唯物论思想</w:t>
      </w:r>
    </w:p>
    <w:p w14:paraId="44F4A412">
      <w:pPr>
        <w:pStyle w:val="53"/>
        <w:spacing w:line="240" w:lineRule="auto"/>
        <w:ind w:left="420" w:hanging="420" w:hangingChars="200"/>
      </w:pPr>
      <w:r>
        <w:rPr>
          <w:rFonts w:hint="eastAsia"/>
        </w:rPr>
        <w:t>24．新航路开辟后，欧洲传教士来到非洲，他们经常教学生如何建造较好的房屋，如何改进自己的农业方法，如何遵守健康和公共卫生的基本原理，向学生传授欧洲语言，改变了非洲的书面形式，从而为非洲本土文学打下基础。这一现象反映</w:t>
      </w:r>
    </w:p>
    <w:p w14:paraId="76CAE543">
      <w:pPr>
        <w:pStyle w:val="54"/>
        <w:autoSpaceDN w:val="0"/>
        <w:spacing w:line="240" w:lineRule="auto"/>
        <w:ind w:left="420"/>
      </w:pPr>
      <w:r>
        <w:rPr>
          <w:rFonts w:hint="eastAsia" w:ascii="Times New Roman" w:hAnsi="Times New Roman"/>
          <w:spacing w:val="25"/>
        </w:rPr>
        <w:t>A．</w:t>
      </w:r>
      <w:r>
        <w:rPr>
          <w:rFonts w:hint="eastAsia" w:ascii="Times New Roman" w:hAnsi="Times New Roman"/>
        </w:rPr>
        <w:t xml:space="preserve">殖民政府依靠传教士实施统治       </w:t>
      </w:r>
      <w:r>
        <w:rPr>
          <w:rFonts w:hint="eastAsia" w:ascii="Times New Roman" w:hAnsi="Times New Roman"/>
          <w:spacing w:val="25"/>
        </w:rPr>
        <w:t>B．</w:t>
      </w:r>
      <w:r>
        <w:rPr>
          <w:rFonts w:hint="eastAsia" w:ascii="Times New Roman" w:hAnsi="Times New Roman"/>
        </w:rPr>
        <w:t>文化扩张是殖民扩张的有机组成</w:t>
      </w:r>
    </w:p>
    <w:p w14:paraId="5E1325F0">
      <w:pPr>
        <w:pStyle w:val="54"/>
        <w:autoSpaceDN w:val="0"/>
        <w:spacing w:line="240" w:lineRule="auto"/>
        <w:ind w:left="420"/>
      </w:pPr>
      <w:r>
        <w:rPr>
          <w:rFonts w:hint="eastAsia" w:ascii="Times New Roman" w:hAnsi="Times New Roman"/>
          <w:spacing w:val="25"/>
        </w:rPr>
        <w:t>C．</w:t>
      </w:r>
      <w:r>
        <w:rPr>
          <w:rFonts w:hint="eastAsia" w:ascii="Times New Roman" w:hAnsi="Times New Roman"/>
        </w:rPr>
        <w:t xml:space="preserve">非洲文明由此实现了全面改造       </w:t>
      </w:r>
      <w:r>
        <w:rPr>
          <w:rFonts w:hint="eastAsia" w:ascii="Times New Roman" w:hAnsi="Times New Roman"/>
          <w:spacing w:val="25"/>
        </w:rPr>
        <w:t>D．</w:t>
      </w:r>
      <w:r>
        <w:rPr>
          <w:rFonts w:hint="eastAsia" w:ascii="Times New Roman" w:hAnsi="Times New Roman"/>
        </w:rPr>
        <w:t>传教士是非洲社会转型主要推力</w:t>
      </w:r>
    </w:p>
    <w:p w14:paraId="4B2183C9">
      <w:pPr>
        <w:pStyle w:val="53"/>
        <w:spacing w:line="240" w:lineRule="auto"/>
        <w:ind w:left="420" w:hanging="420" w:hangingChars="200"/>
      </w:pPr>
      <w:r>
        <w:rPr>
          <w:rFonts w:hint="eastAsia"/>
        </w:rPr>
        <w:t>25．以下考古成果与历史解释对应准确的是</w:t>
      </w:r>
    </w:p>
    <w:tbl>
      <w:tblPr>
        <w:tblStyle w:val="12"/>
        <w:tblW w:w="9055" w:type="dxa"/>
        <w:tblInd w:w="42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437"/>
        <w:gridCol w:w="5593"/>
        <w:gridCol w:w="3025"/>
      </w:tblGrid>
      <w:tr w14:paraId="434B07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437" w:type="dxa"/>
            <w:shd w:val="clear" w:color="auto" w:fill="auto"/>
            <w:tcMar>
              <w:left w:w="119" w:type="dxa"/>
              <w:right w:w="119" w:type="dxa"/>
            </w:tcMar>
          </w:tcPr>
          <w:p w14:paraId="61E570AD">
            <w:pPr>
              <w:spacing w:line="360" w:lineRule="auto"/>
            </w:pPr>
            <w:r>
              <w:rPr>
                <w:rFonts w:hint="eastAsia" w:ascii="Times New Roman" w:hAnsi="Times New Roman" w:eastAsia="楷体_GB2312"/>
              </w:rPr>
              <w:t> </w:t>
            </w:r>
          </w:p>
        </w:tc>
        <w:tc>
          <w:tcPr>
            <w:tcW w:w="5593" w:type="dxa"/>
            <w:shd w:val="clear" w:color="auto" w:fill="auto"/>
            <w:tcMar>
              <w:left w:w="119" w:type="dxa"/>
              <w:right w:w="119" w:type="dxa"/>
            </w:tcMar>
          </w:tcPr>
          <w:p w14:paraId="68224A6C">
            <w:pPr>
              <w:spacing w:line="360" w:lineRule="auto"/>
              <w:jc w:val="center"/>
            </w:pPr>
            <w:r>
              <w:rPr>
                <w:rFonts w:hint="eastAsia" w:ascii="Times New Roman" w:hAnsi="Times New Roman" w:eastAsia="楷体_GB2312"/>
              </w:rPr>
              <w:t>考古成果</w:t>
            </w:r>
          </w:p>
        </w:tc>
        <w:tc>
          <w:tcPr>
            <w:tcW w:w="3025" w:type="dxa"/>
            <w:shd w:val="clear" w:color="auto" w:fill="auto"/>
            <w:tcMar>
              <w:left w:w="119" w:type="dxa"/>
              <w:right w:w="119" w:type="dxa"/>
            </w:tcMar>
          </w:tcPr>
          <w:p w14:paraId="1DD5BE98">
            <w:pPr>
              <w:spacing w:line="360" w:lineRule="auto"/>
              <w:jc w:val="center"/>
            </w:pPr>
            <w:r>
              <w:rPr>
                <w:rFonts w:hint="eastAsia" w:ascii="Times New Roman" w:hAnsi="Times New Roman" w:eastAsia="楷体_GB2312"/>
              </w:rPr>
              <w:t>历史解释</w:t>
            </w:r>
          </w:p>
        </w:tc>
      </w:tr>
      <w:tr w14:paraId="1DB754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437" w:type="dxa"/>
            <w:shd w:val="clear" w:color="auto" w:fill="auto"/>
            <w:tcMar>
              <w:left w:w="119" w:type="dxa"/>
              <w:right w:w="119" w:type="dxa"/>
            </w:tcMar>
            <w:vAlign w:val="center"/>
          </w:tcPr>
          <w:p w14:paraId="208EE42F">
            <w:pPr>
              <w:spacing w:line="360" w:lineRule="auto"/>
              <w:jc w:val="center"/>
            </w:pPr>
            <w:r>
              <w:rPr>
                <w:rFonts w:hint="eastAsia" w:ascii="Times New Roman" w:hAnsi="Times New Roman" w:eastAsia="楷体_GB2312"/>
              </w:rPr>
              <w:t>A</w:t>
            </w:r>
          </w:p>
        </w:tc>
        <w:tc>
          <w:tcPr>
            <w:tcW w:w="5593" w:type="dxa"/>
            <w:shd w:val="clear" w:color="auto" w:fill="auto"/>
            <w:tcMar>
              <w:left w:w="119" w:type="dxa"/>
              <w:right w:w="119" w:type="dxa"/>
            </w:tcMar>
          </w:tcPr>
          <w:p w14:paraId="5FDBCF4C">
            <w:pPr>
              <w:spacing w:line="360" w:lineRule="auto"/>
            </w:pPr>
            <w:r>
              <w:rPr>
                <w:rFonts w:hint="eastAsia" w:ascii="Times New Roman" w:hAnsi="Times New Roman" w:eastAsia="楷体_GB2312"/>
              </w:rPr>
              <w:t>四川西昌发现王莽时期的一处窖藏，出土铜锭4个和铸造货币的钱范5块</w:t>
            </w:r>
          </w:p>
        </w:tc>
        <w:tc>
          <w:tcPr>
            <w:tcW w:w="3025" w:type="dxa"/>
            <w:shd w:val="clear" w:color="auto" w:fill="auto"/>
            <w:tcMar>
              <w:left w:w="119" w:type="dxa"/>
              <w:right w:w="119" w:type="dxa"/>
            </w:tcMar>
          </w:tcPr>
          <w:p w14:paraId="7674B641">
            <w:pPr>
              <w:spacing w:line="360" w:lineRule="auto"/>
            </w:pPr>
            <w:r>
              <w:rPr>
                <w:rFonts w:hint="eastAsia" w:ascii="Times New Roman" w:hAnsi="Times New Roman" w:eastAsia="楷体_GB2312"/>
              </w:rPr>
              <w:t>汉代西南地区商品经济发达</w:t>
            </w:r>
          </w:p>
        </w:tc>
      </w:tr>
      <w:tr w14:paraId="35E26A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437" w:type="dxa"/>
            <w:shd w:val="clear" w:color="auto" w:fill="auto"/>
            <w:tcMar>
              <w:left w:w="119" w:type="dxa"/>
              <w:right w:w="119" w:type="dxa"/>
            </w:tcMar>
            <w:vAlign w:val="center"/>
          </w:tcPr>
          <w:p w14:paraId="0542DD3C">
            <w:pPr>
              <w:spacing w:line="360" w:lineRule="auto"/>
              <w:jc w:val="center"/>
            </w:pPr>
            <w:r>
              <w:rPr>
                <w:rFonts w:hint="eastAsia" w:ascii="Times New Roman" w:hAnsi="Times New Roman" w:eastAsia="楷体_GB2312"/>
              </w:rPr>
              <w:t>B</w:t>
            </w:r>
          </w:p>
        </w:tc>
        <w:tc>
          <w:tcPr>
            <w:tcW w:w="5593" w:type="dxa"/>
            <w:shd w:val="clear" w:color="auto" w:fill="auto"/>
            <w:tcMar>
              <w:left w:w="119" w:type="dxa"/>
              <w:right w:w="119" w:type="dxa"/>
            </w:tcMar>
          </w:tcPr>
          <w:p w14:paraId="454A3694">
            <w:pPr>
              <w:spacing w:line="360" w:lineRule="auto"/>
            </w:pPr>
            <w:r>
              <w:rPr>
                <w:rFonts w:hint="eastAsia" w:ascii="Times New Roman" w:hAnsi="Times New Roman" w:eastAsia="楷体_GB2312"/>
              </w:rPr>
              <w:t>湖北荆州西汉墓出土“南郡簿”记载，南郡“免老”（对老人免征税役）人数共2966人，平均每县174人</w:t>
            </w:r>
          </w:p>
        </w:tc>
        <w:tc>
          <w:tcPr>
            <w:tcW w:w="3025" w:type="dxa"/>
            <w:shd w:val="clear" w:color="auto" w:fill="auto"/>
            <w:tcMar>
              <w:left w:w="119" w:type="dxa"/>
              <w:right w:w="119" w:type="dxa"/>
            </w:tcMar>
          </w:tcPr>
          <w:p w14:paraId="60B2D1E8">
            <w:pPr>
              <w:spacing w:line="360" w:lineRule="auto"/>
            </w:pPr>
            <w:r>
              <w:rPr>
                <w:rFonts w:hint="eastAsia" w:ascii="Times New Roman" w:hAnsi="Times New Roman" w:eastAsia="楷体_GB2312"/>
              </w:rPr>
              <w:t>汉代推行轻徭薄赋政策</w:t>
            </w:r>
          </w:p>
        </w:tc>
      </w:tr>
      <w:tr w14:paraId="5D9AF0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437" w:type="dxa"/>
            <w:shd w:val="clear" w:color="auto" w:fill="auto"/>
            <w:tcMar>
              <w:left w:w="119" w:type="dxa"/>
              <w:right w:w="119" w:type="dxa"/>
            </w:tcMar>
            <w:vAlign w:val="center"/>
          </w:tcPr>
          <w:p w14:paraId="13FD67EE">
            <w:pPr>
              <w:spacing w:line="360" w:lineRule="auto"/>
              <w:jc w:val="center"/>
            </w:pPr>
            <w:r>
              <w:rPr>
                <w:rFonts w:hint="eastAsia" w:ascii="Times New Roman" w:hAnsi="Times New Roman" w:eastAsia="楷体_GB2312"/>
              </w:rPr>
              <w:t>C</w:t>
            </w:r>
          </w:p>
        </w:tc>
        <w:tc>
          <w:tcPr>
            <w:tcW w:w="5593" w:type="dxa"/>
            <w:shd w:val="clear" w:color="auto" w:fill="auto"/>
            <w:tcMar>
              <w:left w:w="119" w:type="dxa"/>
              <w:right w:w="119" w:type="dxa"/>
            </w:tcMar>
          </w:tcPr>
          <w:p w14:paraId="42E86859">
            <w:pPr>
              <w:spacing w:line="360" w:lineRule="auto"/>
            </w:pPr>
            <w:r>
              <w:rPr>
                <w:rFonts w:hint="eastAsia" w:ascii="Times New Roman" w:hAnsi="Times New Roman" w:eastAsia="楷体_GB2312"/>
              </w:rPr>
              <w:t>敦煌出土的部分唐代借贷文书上有担保物和保人的记载</w:t>
            </w:r>
          </w:p>
        </w:tc>
        <w:tc>
          <w:tcPr>
            <w:tcW w:w="3025" w:type="dxa"/>
            <w:shd w:val="clear" w:color="auto" w:fill="auto"/>
            <w:tcMar>
              <w:left w:w="119" w:type="dxa"/>
              <w:right w:w="119" w:type="dxa"/>
            </w:tcMar>
          </w:tcPr>
          <w:p w14:paraId="4368088F">
            <w:pPr>
              <w:spacing w:line="360" w:lineRule="auto"/>
            </w:pPr>
            <w:r>
              <w:rPr>
                <w:rFonts w:hint="eastAsia" w:ascii="Times New Roman" w:hAnsi="Times New Roman" w:eastAsia="楷体_GB2312"/>
              </w:rPr>
              <w:t>唐朝时开始出现实物借贷</w:t>
            </w:r>
          </w:p>
        </w:tc>
      </w:tr>
      <w:tr w14:paraId="0454AE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437" w:type="dxa"/>
            <w:shd w:val="clear" w:color="auto" w:fill="auto"/>
            <w:tcMar>
              <w:left w:w="119" w:type="dxa"/>
              <w:right w:w="119" w:type="dxa"/>
            </w:tcMar>
            <w:vAlign w:val="center"/>
          </w:tcPr>
          <w:p w14:paraId="5D70081C">
            <w:pPr>
              <w:spacing w:line="360" w:lineRule="auto"/>
              <w:jc w:val="center"/>
            </w:pPr>
            <w:r>
              <w:rPr>
                <w:rFonts w:hint="eastAsia" w:ascii="Times New Roman" w:hAnsi="Times New Roman" w:eastAsia="楷体_GB2312"/>
              </w:rPr>
              <w:t>D</w:t>
            </w:r>
          </w:p>
        </w:tc>
        <w:tc>
          <w:tcPr>
            <w:tcW w:w="5593" w:type="dxa"/>
            <w:shd w:val="clear" w:color="auto" w:fill="auto"/>
            <w:tcMar>
              <w:left w:w="119" w:type="dxa"/>
              <w:right w:w="119" w:type="dxa"/>
            </w:tcMar>
          </w:tcPr>
          <w:p w14:paraId="15AF1E45">
            <w:pPr>
              <w:spacing w:line="360" w:lineRule="auto"/>
            </w:pPr>
            <w:r>
              <w:rPr>
                <w:rFonts w:hint="eastAsia" w:ascii="Times New Roman" w:hAnsi="Times New Roman" w:eastAsia="楷体_GB2312"/>
              </w:rPr>
              <w:t>中国新疆和中亚地区考古发现一批6—8世纪粟特（西域古政权）铸造的圆形方孔钱币，上有“开元通宝”等汉字</w:t>
            </w:r>
          </w:p>
        </w:tc>
        <w:tc>
          <w:tcPr>
            <w:tcW w:w="3025" w:type="dxa"/>
            <w:shd w:val="clear" w:color="auto" w:fill="auto"/>
            <w:tcMar>
              <w:left w:w="119" w:type="dxa"/>
              <w:right w:w="119" w:type="dxa"/>
            </w:tcMar>
          </w:tcPr>
          <w:p w14:paraId="51B8AC96">
            <w:pPr>
              <w:spacing w:line="360" w:lineRule="auto"/>
            </w:pPr>
            <w:r>
              <w:rPr>
                <w:rFonts w:hint="eastAsia" w:ascii="Times New Roman" w:hAnsi="Times New Roman" w:eastAsia="楷体_GB2312"/>
              </w:rPr>
              <w:t>丝绸之路推动中原文化传播</w:t>
            </w:r>
          </w:p>
        </w:tc>
      </w:tr>
    </w:tbl>
    <w:p w14:paraId="1744428C"/>
    <w:p w14:paraId="5C2D06E0">
      <w:pPr>
        <w:pStyle w:val="55"/>
        <w:spacing w:line="240" w:lineRule="auto"/>
      </w:pPr>
      <w:r>
        <w:rPr>
          <w:rFonts w:hint="eastAsia"/>
        </w:rPr>
        <w:t>二、非选择题</w:t>
      </w:r>
    </w:p>
    <w:p w14:paraId="79CF0D67">
      <w:pPr>
        <w:pStyle w:val="56"/>
        <w:spacing w:line="240" w:lineRule="auto"/>
      </w:pPr>
      <w:r>
        <w:rPr>
          <w:rFonts w:hint="eastAsia"/>
        </w:rPr>
        <w:t>26．（13分）阅读材料，完成下列要求。</w:t>
      </w:r>
    </w:p>
    <w:p w14:paraId="08855E70">
      <w:pPr>
        <w:pStyle w:val="57"/>
        <w:spacing w:line="240" w:lineRule="auto"/>
      </w:pPr>
      <w:r>
        <w:rPr>
          <w:rFonts w:hint="eastAsia"/>
        </w:rPr>
        <w:t>材料一</w:t>
      </w:r>
    </w:p>
    <w:p w14:paraId="4F93E66B">
      <w:pPr>
        <w:jc w:val="center"/>
      </w:pPr>
      <w:r>
        <w:pict>
          <v:shape id="_x0000_i1028" o:spt="75" type="#_x0000_t75" style="height:201.75pt;width:405pt;" filled="f" o:preferrelative="t" stroked="f" coordsize="21600,21600">
            <v:path/>
            <v:fill on="f" focussize="0,0"/>
            <v:stroke on="f" joinstyle="miter"/>
            <v:imagedata r:id="rId10" o:title=""/>
            <o:lock v:ext="edit" aspectratio="t"/>
            <w10:wrap type="none"/>
            <w10:anchorlock/>
          </v:shape>
        </w:pict>
      </w:r>
    </w:p>
    <w:p w14:paraId="5490A261">
      <w:pPr>
        <w:pStyle w:val="58"/>
        <w:spacing w:line="240" w:lineRule="auto"/>
      </w:pPr>
      <w:r>
        <w:rPr>
          <w:rFonts w:hint="eastAsia"/>
        </w:rPr>
        <w:t>注：①修建在南北运河与海河交汇处的天津卫城；②紫竹林商业中心；③大胡同商业中心；④经济中心；⑤政治中心</w:t>
      </w:r>
    </w:p>
    <w:p w14:paraId="710C50DB">
      <w:pPr>
        <w:pStyle w:val="60"/>
        <w:spacing w:line="240" w:lineRule="auto"/>
      </w:pPr>
      <w:r>
        <w:rPr>
          <w:rFonts w:hint="eastAsia"/>
        </w:rPr>
        <w:t>——据张秀芹、洪再生《近代天津城市空间形态的演变》</w:t>
      </w:r>
    </w:p>
    <w:p w14:paraId="10C5F103">
      <w:pPr>
        <w:pStyle w:val="57"/>
        <w:spacing w:line="240" w:lineRule="auto"/>
      </w:pPr>
      <w:r>
        <w:rPr>
          <w:rFonts w:hint="eastAsia"/>
        </w:rPr>
        <w:t>材料二</w:t>
      </w:r>
    </w:p>
    <w:p w14:paraId="507EF991">
      <w:pPr>
        <w:pStyle w:val="59"/>
        <w:spacing w:line="240" w:lineRule="auto"/>
      </w:pPr>
      <w:r>
        <w:rPr>
          <w:rFonts w:hint="eastAsia"/>
        </w:rPr>
        <w:t>19世纪上半叶，伦敦律师查尔斯·皮尔森发现，由于当时的通勤只能依靠步行，因此，他计划修建一些城市边界的铁路线，并将其中心路段设置在中央城区街道的地下，他希望新路线可以帮助人们搬离城中心的“窝棚”，在花园围绕、空气清新的居住环境下生活。1863年1月，全长7．5千米的地下铁路宣告完工，遗憾的是，皮尔森已于完工前一年9月离世。经过一个又一个的开拓者在地下铁路开发的道路上接力前行，一群富有远见的人打造了伦敦地铁，让它不仅仅是一种交通体系，更是伦敦得以发展到现有规模不可或缺的关键机制，如皮尔森所愿，地铁延长了人们的居住距离，同时也保持了中心城区的紧凑和开放。伦敦地铁成了伦敦的一道独特风景线。</w:t>
      </w:r>
    </w:p>
    <w:p w14:paraId="02FA1092">
      <w:pPr>
        <w:pStyle w:val="60"/>
        <w:spacing w:line="240" w:lineRule="auto"/>
      </w:pPr>
      <w:r>
        <w:rPr>
          <w:rFonts w:hint="eastAsia"/>
        </w:rPr>
        <w:t>——摘编自【英】克里斯蒂安·沃尔玛尔著《铁路史——火车、工程师与工业文明的故事》</w:t>
      </w:r>
    </w:p>
    <w:p w14:paraId="77BCE444">
      <w:pPr>
        <w:pStyle w:val="56"/>
        <w:spacing w:line="240" w:lineRule="auto"/>
        <w:ind w:left="525" w:hanging="525" w:hangingChars="250"/>
      </w:pPr>
      <w:r>
        <w:rPr>
          <w:rFonts w:hint="eastAsia"/>
        </w:rPr>
        <w:t>（1）据材料一，概括近代天津城市变化，结合所学知识，分析导致变化的主要原因。（7分）</w:t>
      </w:r>
    </w:p>
    <w:p w14:paraId="1A167EFB">
      <w:pPr>
        <w:pStyle w:val="57"/>
        <w:spacing w:line="240" w:lineRule="auto"/>
      </w:pPr>
    </w:p>
    <w:p w14:paraId="62F82F4C">
      <w:pPr>
        <w:pStyle w:val="56"/>
        <w:spacing w:line="240" w:lineRule="auto"/>
        <w:ind w:left="525" w:hanging="525" w:hangingChars="250"/>
      </w:pPr>
      <w:r>
        <w:rPr>
          <w:rFonts w:hint="eastAsia"/>
        </w:rPr>
        <w:t>（2）据材料二，概括地铁修建对于伦敦的意义。综合上述材料并结合所学知识，归纳影响近代城市空间发展的主要因素。（6分）</w:t>
      </w:r>
    </w:p>
    <w:p w14:paraId="36BB69C4"/>
    <w:p w14:paraId="164CE5F2">
      <w:pPr>
        <w:pStyle w:val="56"/>
        <w:spacing w:line="240" w:lineRule="auto"/>
      </w:pPr>
      <w:r>
        <w:rPr>
          <w:rFonts w:hint="eastAsia"/>
        </w:rPr>
        <w:t>27．（14分）农村基层治理是国家治理的基础性体现。阅读材料，完成下列要求。</w:t>
      </w:r>
    </w:p>
    <w:p w14:paraId="1E01019D">
      <w:pPr>
        <w:pStyle w:val="57"/>
        <w:spacing w:line="240" w:lineRule="auto"/>
      </w:pPr>
      <w:r>
        <w:rPr>
          <w:rFonts w:hint="eastAsia"/>
        </w:rPr>
        <w:t>材料一</w:t>
      </w:r>
    </w:p>
    <w:p w14:paraId="0C969799">
      <w:pPr>
        <w:pStyle w:val="59"/>
        <w:spacing w:line="240" w:lineRule="auto"/>
      </w:pPr>
      <w:r>
        <w:rPr>
          <w:rFonts w:hint="eastAsia"/>
        </w:rPr>
        <w:t>新中国成立初期，伴随着国家政权和国家制度的重构，明确农村地区的土地产权关系成为逐步理顺农村工作的前提。同时，党和人民政府通过废除保甲制度、颁布《婚姻法》等治理举措，崩解了农村社会原有的“政权、族权、神权、夫权”的旧政治权威。1950年，政务院颁布了《乡（行政村）人民代表会议组织通则》和《乡（行政村）人民政府组织通则》。村政府与乡政府并立为基层政权。</w:t>
      </w:r>
    </w:p>
    <w:p w14:paraId="26B35DDF">
      <w:pPr>
        <w:pStyle w:val="60"/>
        <w:spacing w:line="240" w:lineRule="auto"/>
      </w:pPr>
      <w:r>
        <w:rPr>
          <w:rFonts w:hint="eastAsia"/>
        </w:rPr>
        <w:t>——摘编自丁云《新中国成立以来农村基层党建与基层治理的发展变迁》</w:t>
      </w:r>
    </w:p>
    <w:p w14:paraId="3AE9BD42">
      <w:pPr>
        <w:pStyle w:val="57"/>
        <w:spacing w:line="240" w:lineRule="auto"/>
      </w:pPr>
      <w:r>
        <w:rPr>
          <w:rFonts w:hint="eastAsia"/>
        </w:rPr>
        <w:t>材料二</w:t>
      </w:r>
    </w:p>
    <w:p w14:paraId="648D96CF">
      <w:pPr>
        <w:pStyle w:val="59"/>
        <w:spacing w:line="240" w:lineRule="auto"/>
      </w:pPr>
      <w:r>
        <w:rPr>
          <w:rFonts w:hint="eastAsia"/>
        </w:rPr>
        <w:t>1958年，《关于在农村建立人民公社问题的决议》，按此决议，原有的几十甚至上百个经济条件、贫富水平不均的合作社合并为一个农村人民公社，将一切生产资料上交给人民公社，统一分配。人民公社不仅要管生产、管政权，还要管社员生活，形成一种“政社合一”模式。直至土地承包到户之后，农民才开始从高度集体化的治理体制中脱嵌出来，家户重新成为独立的经营单位。农村社会重归分散，“政社合——”模式已经失去了其存在的经济基础，1983年，全新的乡镇基层政权体系逐步建立起来。同时，伴随农村经济活力的充分调动，多元利益主体纷纷出现，村委会成为群众自治组织，也是整合农村社会的组织。</w:t>
      </w:r>
    </w:p>
    <w:p w14:paraId="297D51D0">
      <w:pPr>
        <w:pStyle w:val="60"/>
        <w:spacing w:line="240" w:lineRule="auto"/>
      </w:pPr>
      <w:r>
        <w:rPr>
          <w:rFonts w:hint="eastAsia"/>
        </w:rPr>
        <w:t>——摘编自祝传佳《新中国成立70年农村基层治理模式变迁研究》</w:t>
      </w:r>
    </w:p>
    <w:p w14:paraId="19AB0188">
      <w:pPr>
        <w:pStyle w:val="56"/>
        <w:spacing w:line="240" w:lineRule="auto"/>
        <w:ind w:left="525" w:hanging="525" w:hangingChars="250"/>
      </w:pPr>
      <w:r>
        <w:rPr>
          <w:rFonts w:hint="eastAsia"/>
        </w:rPr>
        <w:t>（1）据材料一指出建国初期，党和政府重构乡村秩序的主要措施，并结合所学分析其影响。（6分）</w:t>
      </w:r>
    </w:p>
    <w:p w14:paraId="1394F971">
      <w:pPr>
        <w:pStyle w:val="57"/>
        <w:spacing w:line="240" w:lineRule="auto"/>
      </w:pPr>
    </w:p>
    <w:p w14:paraId="604D716E">
      <w:pPr>
        <w:pStyle w:val="56"/>
        <w:spacing w:line="240" w:lineRule="auto"/>
        <w:ind w:left="525" w:hanging="525" w:hangingChars="250"/>
      </w:pPr>
      <w:r>
        <w:rPr>
          <w:rFonts w:hint="eastAsia"/>
        </w:rPr>
        <w:t>（2）据材料二概括20世纪50年代末以来我国农村基层治理体制的演变。并结合所学，分析不同阶段的治理体制产生的主要背景。（8分）</w:t>
      </w:r>
    </w:p>
    <w:p w14:paraId="66ACDE05"/>
    <w:p w14:paraId="3FA36586">
      <w:pPr>
        <w:pStyle w:val="56"/>
        <w:spacing w:line="240" w:lineRule="auto"/>
      </w:pPr>
      <w:r>
        <w:rPr>
          <w:rFonts w:hint="eastAsia"/>
        </w:rPr>
        <w:t>28．阅读材料，完成下列要求。（10分）</w:t>
      </w:r>
    </w:p>
    <w:p w14:paraId="271D3703">
      <w:pPr>
        <w:pStyle w:val="57"/>
        <w:spacing w:line="240" w:lineRule="auto"/>
      </w:pPr>
      <w:r>
        <w:rPr>
          <w:rFonts w:hint="eastAsia"/>
        </w:rPr>
        <w:t>材料一</w:t>
      </w:r>
    </w:p>
    <w:p w14:paraId="7A19263A">
      <w:pPr>
        <w:pStyle w:val="59"/>
        <w:spacing w:line="240" w:lineRule="auto"/>
      </w:pPr>
      <w:r>
        <w:rPr>
          <w:rFonts w:hint="eastAsia"/>
        </w:rPr>
        <w:t>在古代边疆的开发与治理中，移民起到了相当重要的作用。鉴于匈奴时常侵扰西北边郡，文帝采纳了晁错的建议——募民实边，通过优厚条件吸引民众充实西北边疆。到公元前127年，“募民徙朔方十万口”。武帝元鼎六年（前111年），在西北边地设张掖、酒泉郡、置田官，“斥塞卒六十万人戍田之”，军屯戍边由此成为安置移民的一种主要方式。此外政府还通过迁徙罪犯及家属戍边、迁降卒于边郡等向西北边疆移民。这些政策既开发了边疆又保卫了边疆。</w:t>
      </w:r>
    </w:p>
    <w:p w14:paraId="314DF47F">
      <w:pPr>
        <w:pStyle w:val="60"/>
        <w:spacing w:line="240" w:lineRule="auto"/>
      </w:pPr>
      <w:r>
        <w:rPr>
          <w:rFonts w:hint="eastAsia"/>
        </w:rPr>
        <w:t>——摘编自翟麦玲《两汉西北边疆移氏政策比较研究》</w:t>
      </w:r>
    </w:p>
    <w:p w14:paraId="2A44B888">
      <w:pPr>
        <w:pStyle w:val="57"/>
        <w:spacing w:line="240" w:lineRule="auto"/>
      </w:pPr>
      <w:r>
        <w:rPr>
          <w:rFonts w:hint="eastAsia"/>
        </w:rPr>
        <w:t>材料二</w:t>
      </w:r>
    </w:p>
    <w:p w14:paraId="5339BC64">
      <w:pPr>
        <w:pStyle w:val="59"/>
        <w:spacing w:line="240" w:lineRule="auto"/>
      </w:pPr>
      <w:r>
        <w:rPr>
          <w:rFonts w:hint="eastAsia"/>
        </w:rPr>
        <w:t>19世纪60年代初沙皇俄国利用中国东北边疆人烟稀少的空虚形势，鲸吞我国大片领土，并且继续执行其侵略政策。在部分开明官员的倡议下，清政府开始实行向东北移民以充实边疆政策。甲午战争后，日本称：中国东北“在我国势力圈内，为我国之殖民地，最为适合”。庚子之变后，东北边患日益加剧，清政府发起新政运动，深化在东北地区的移民实边政策，使以往东北边疆人烟稀少、空虚荒凉的状况有了很大的改观。</w:t>
      </w:r>
    </w:p>
    <w:p w14:paraId="2973D6D8">
      <w:pPr>
        <w:pStyle w:val="60"/>
        <w:spacing w:line="240" w:lineRule="auto"/>
      </w:pPr>
      <w:r>
        <w:rPr>
          <w:rFonts w:hint="eastAsia"/>
        </w:rPr>
        <w:t>——摘编自高强《清末东北移民实边政策述论》</w:t>
      </w:r>
    </w:p>
    <w:p w14:paraId="5F3F68C5">
      <w:pPr>
        <w:pStyle w:val="56"/>
        <w:spacing w:line="240" w:lineRule="auto"/>
        <w:ind w:left="525" w:hanging="525" w:hangingChars="250"/>
      </w:pPr>
      <w:r>
        <w:rPr>
          <w:rFonts w:hint="eastAsia"/>
        </w:rPr>
        <w:t>（1）根据材料一并结合所学知识，指出西汉推行边疆移民政策的措施及意义。（5分）</w:t>
      </w:r>
    </w:p>
    <w:p w14:paraId="2DFDCA4B">
      <w:pPr>
        <w:pStyle w:val="57"/>
        <w:spacing w:line="240" w:lineRule="auto"/>
      </w:pPr>
    </w:p>
    <w:p w14:paraId="7273D037">
      <w:pPr>
        <w:pStyle w:val="56"/>
        <w:spacing w:line="240" w:lineRule="auto"/>
        <w:ind w:left="525" w:hanging="525" w:hangingChars="250"/>
      </w:pPr>
      <w:r>
        <w:rPr>
          <w:rFonts w:hint="eastAsia"/>
        </w:rPr>
        <w:t>（2）根据材料一、二，指出与西汉相比，清末东北移民实边的原因。（3分）</w:t>
      </w:r>
    </w:p>
    <w:p w14:paraId="0AD71784">
      <w:pPr>
        <w:pStyle w:val="57"/>
        <w:spacing w:line="240" w:lineRule="auto"/>
      </w:pPr>
    </w:p>
    <w:p w14:paraId="5BA18D13">
      <w:pPr>
        <w:pStyle w:val="56"/>
        <w:spacing w:line="240" w:lineRule="auto"/>
        <w:ind w:left="525" w:hanging="525" w:hangingChars="250"/>
      </w:pPr>
      <w:r>
        <w:rPr>
          <w:rFonts w:hint="eastAsia"/>
        </w:rPr>
        <w:t>（3）综合以上材料，谈谈你对中国历史上向边疆移民的认识。（2分）</w:t>
      </w:r>
    </w:p>
    <w:p w14:paraId="314B6BE4"/>
    <w:p w14:paraId="3F20C33E">
      <w:pPr>
        <w:pStyle w:val="56"/>
        <w:spacing w:line="240" w:lineRule="auto"/>
      </w:pPr>
      <w:r>
        <w:rPr>
          <w:rFonts w:hint="eastAsia"/>
        </w:rPr>
        <w:t>29．阅读材料，回答问题。（8分）</w:t>
      </w:r>
    </w:p>
    <w:p w14:paraId="6BEC1F0C">
      <w:pPr>
        <w:pStyle w:val="57"/>
        <w:spacing w:line="240" w:lineRule="auto"/>
      </w:pPr>
      <w:r>
        <w:rPr>
          <w:rFonts w:hint="eastAsia"/>
        </w:rPr>
        <w:t>材料一</w:t>
      </w:r>
    </w:p>
    <w:p w14:paraId="75F043D6">
      <w:pPr>
        <w:pStyle w:val="59"/>
        <w:spacing w:line="240" w:lineRule="auto"/>
      </w:pPr>
      <w:r>
        <w:rPr>
          <w:rFonts w:hint="eastAsia"/>
        </w:rPr>
        <w:t>一个成功的大一统帝国，必然也是能够成功与商人集团合作，接纳商贸秩序的帝国。唐王朝得到粟特人的协助，得以成功地经略西域，一旦双方决裂，唐人变成文化保守主义者，他们也就永远失去了中亚。宋元能够从繁荣的海上丝绸之路中获得好处，也是因为友善阿拉伯商人。明初一旦禁海，有不在少数的临海子民参与或主导倭寇组织。</w:t>
      </w:r>
    </w:p>
    <w:p w14:paraId="55B1DEE8">
      <w:pPr>
        <w:pStyle w:val="60"/>
        <w:spacing w:line="240" w:lineRule="auto"/>
      </w:pPr>
      <w:r>
        <w:rPr>
          <w:rFonts w:hint="eastAsia"/>
        </w:rPr>
        <w:t>——摘编自张笑字《商贸与文明·现代世界的诞生》</w:t>
      </w:r>
    </w:p>
    <w:p w14:paraId="6EEB7F05">
      <w:pPr>
        <w:pStyle w:val="57"/>
        <w:spacing w:line="240" w:lineRule="auto"/>
      </w:pPr>
      <w:r>
        <w:rPr>
          <w:rFonts w:hint="eastAsia"/>
        </w:rPr>
        <w:t>材料二</w:t>
      </w:r>
    </w:p>
    <w:p w14:paraId="703E97EC">
      <w:pPr>
        <w:pStyle w:val="59"/>
        <w:spacing w:line="240" w:lineRule="auto"/>
      </w:pPr>
      <w:r>
        <w:rPr>
          <w:rFonts w:hint="eastAsia"/>
        </w:rPr>
        <w:t>长期以来，穆斯林商人一直是欧亚商路的主宰者。从7世纪开始，来自波斯、埃及和美索不达米亚的水手和商人开始学着借助季风的力量前往印度。到8世纪20年代，穆斯林水手最远到达了中国的沿海地区。唐朝对外来文化采取了非常开放的态度，中国的艺术明显受到波斯和阿拉伯的影响。宋朝依然与伊斯兰世界进行贸易。</w:t>
      </w:r>
    </w:p>
    <w:p w14:paraId="06E878FA">
      <w:pPr>
        <w:pStyle w:val="60"/>
        <w:spacing w:line="240" w:lineRule="auto"/>
      </w:pPr>
      <w:r>
        <w:rPr>
          <w:rFonts w:hint="eastAsia"/>
        </w:rPr>
        <w:t>——摘编自（英）安德鲁《世界史》</w:t>
      </w:r>
    </w:p>
    <w:p w14:paraId="1677E800">
      <w:pPr>
        <w:pStyle w:val="61"/>
        <w:spacing w:line="240" w:lineRule="auto"/>
      </w:pPr>
      <w:r>
        <w:rPr>
          <w:rFonts w:hint="eastAsia"/>
        </w:rPr>
        <w:t>分析材料并结合所学知识，以“商贸与文明”为题，写一则历史短文。（要求：表述成文，叙述完整；立论正确，史论结合；逻辑严密，条理清晰）（8分）</w:t>
      </w:r>
    </w:p>
    <w:p w14:paraId="552FCA05"/>
    <w:p w14:paraId="44DFAE64">
      <w:pPr>
        <w:sectPr>
          <w:headerReference r:id="rId3" w:type="default"/>
          <w:footerReference r:id="rId4" w:type="default"/>
          <w:pgSz w:w="11906" w:h="16838"/>
          <w:pgMar w:top="1418" w:right="1797" w:bottom="1440" w:left="1077" w:header="851" w:footer="992" w:gutter="0"/>
          <w:cols w:space="720" w:num="1"/>
          <w:docGrid w:type="lines" w:linePitch="312" w:charSpace="0"/>
        </w:sectPr>
      </w:pPr>
    </w:p>
    <w:p w14:paraId="546D2BBE"/>
    <w:sectPr>
      <w:pgSz w:w="11906" w:h="16838"/>
      <w:pgMar w:top="1440" w:right="1800" w:bottom="1440" w:left="1800" w:header="708" w:footer="708" w:gutter="0"/>
      <w:cols w:space="708"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Verdana">
    <w:panose1 w:val="020B0604030504040204"/>
    <w:charset w:val="00"/>
    <w:family w:val="swiss"/>
    <w:pitch w:val="default"/>
    <w:sig w:usb0="A10006FF" w:usb1="4000205B" w:usb2="00000010" w:usb3="00000000" w:csb0="2000019F" w:csb1="00000000"/>
  </w:font>
  <w:font w:name="楷体_GB2312">
    <w:panose1 w:val="02010609030101010101"/>
    <w:charset w:val="86"/>
    <w:family w:val="roman"/>
    <w:pitch w:val="default"/>
    <w:sig w:usb0="00000001" w:usb1="080E0000" w:usb2="00000000" w:usb3="00000000" w:csb0="00040000" w:csb1="00000000"/>
  </w:font>
  <w:font w:name="楷体">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0374ED">
    <w:pPr>
      <w:jc w:val="both"/>
      <w:textAlignment w:val="center"/>
      <w:rPr>
        <w:color w:val="000000"/>
        <w:szCs w:val="21"/>
      </w:rPr>
    </w:pPr>
  </w:p>
  <w:p w14:paraId="6743F8B1">
    <w:pPr>
      <w:pStyle w:val="8"/>
      <w:jc w:val="center"/>
    </w:pPr>
    <w:r>
      <w:fldChar w:fldCharType="begin"/>
    </w:r>
    <w:r>
      <w:instrText xml:space="preserve">PAGE   \* MERGEFORMAT</w:instrText>
    </w:r>
    <w:r>
      <w:fldChar w:fldCharType="separate"/>
    </w:r>
    <w:r>
      <w:rPr>
        <w:lang w:val="zh-CN"/>
      </w:rPr>
      <w:t>2</w:t>
    </w:r>
    <w:r>
      <w:fldChar w:fldCharType="end"/>
    </w:r>
  </w:p>
  <w:p w14:paraId="2634CFB6">
    <w:pPr>
      <w:pStyle w:val="8"/>
    </w:pPr>
  </w:p>
  <w:p w14:paraId="10325EE6">
    <w:pPr>
      <w:tabs>
        <w:tab w:val="center" w:pos="4153"/>
        <w:tab w:val="right" w:pos="8306"/>
      </w:tabs>
      <w:snapToGrid w:val="0"/>
      <w:jc w:val="left"/>
      <w:rPr>
        <w:rFonts w:ascii="Times New Roman" w:hAnsi="Times New Roman"/>
        <w:kern w:val="0"/>
        <w:sz w:val="2"/>
        <w:szCs w:val="2"/>
      </w:rPr>
    </w:pPr>
    <w:r>
      <w:rPr>
        <w:color w:val="FFFFFF"/>
        <w:sz w:val="2"/>
        <w:szCs w:val="2"/>
      </w:rPr>
      <w:pict>
        <v:shape id="PowerPlusWaterMarkObject1453549720" o:spid="_x0000_s2054" o:spt="136" alt="学科网 zxxk.com" type="#_x0000_t136" style="position:absolute;left:0pt;margin-left:158.95pt;margin-top:407.9pt;height:2.85pt;width:2.85pt;mso-position-horizontal-relative:margin;mso-position-vertical-relative:margin;rotation:20643840f;z-index:-251656192;mso-width-relative:page;mso-height-relative:page;" filled="t" stroked="f" coordsize="21600,21600" o:allowincell="f">
          <v:path/>
          <v:fill on="t" opacity="32768f" focussize="0,0"/>
          <v:stroke on="f"/>
          <v:imagedata o:title=""/>
          <o:lock v:ext="edit"/>
          <v:textpath on="t" fitshape="t" fitpath="t" trim="f" xscale="f" string="zxxk.com" style="font-family:宋体;font-size:8pt;v-same-letter-heights:f;v-text-align:center;"/>
        </v:shape>
      </w:pict>
    </w:r>
    <w:r>
      <w:rPr>
        <w:color w:val="FFFFFF"/>
        <w:sz w:val="2"/>
        <w:szCs w:val="2"/>
      </w:rPr>
      <w:pict>
        <v:shape id="图片 5" o:spid="_x0000_s2055" o:spt="75" alt="学科网 zxxk.com" type="#_x0000_t75" style="position:absolute;left:0pt;margin-left:64.05pt;margin-top:-20.75pt;height:0.05pt;width:0.05pt;z-index:251662336;mso-width-relative:page;mso-height-relative:page;" filled="f" o:preferrelative="t" stroked="f" coordsize="21600,21600">
          <v:path/>
          <v:fill on="f" focussize="0,0"/>
          <v:stroke on="f" joinstyle="miter"/>
          <v:imagedata r:id="rId1" r:href="rId2" o:title=""/>
          <o:lock v:ext="edit" aspectratio="t"/>
        </v:shape>
      </w:pict>
    </w:r>
    <w:r>
      <w:rPr>
        <w:rFonts w:hint="eastAsia" w:ascii="Times New Roman" w:hAnsi="Times New Roman"/>
        <w:color w:val="FFFFFF"/>
        <w:kern w:val="0"/>
        <w:sz w:val="2"/>
        <w:szCs w:val="2"/>
      </w:rPr>
      <w:t>学科网（北京）股份有限公司</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0982BC">
    <w:pPr>
      <w:pStyle w:val="9"/>
      <w:pBdr>
        <w:bottom w:val="none" w:color="auto" w:sz="0" w:space="0"/>
      </w:pBdr>
      <w:jc w:val="both"/>
      <w:rPr>
        <w:rFonts w:hint="eastAsia"/>
      </w:rPr>
    </w:pPr>
  </w:p>
  <w:p w14:paraId="1B5DF9D2">
    <w:pPr>
      <w:pBdr>
        <w:bottom w:val="none" w:color="auto" w:sz="0" w:space="1"/>
      </w:pBdr>
      <w:snapToGrid w:val="0"/>
      <w:rPr>
        <w:rFonts w:ascii="Times New Roman" w:hAnsi="Times New Roman"/>
        <w:kern w:val="0"/>
        <w:sz w:val="2"/>
        <w:szCs w:val="2"/>
      </w:rPr>
    </w:pPr>
    <w:r>
      <w:pict>
        <v:shape id="图片 4" o:spid="_x0000_s2051" o:spt="75" alt="学科网 zxxk.com" type="#_x0000_t75" style="position:absolute;left:0pt;margin-left:351pt;margin-top:8.45pt;height:0.75pt;width:0.75pt;z-index:251661312;mso-width-relative:page;mso-height-relative:page;" filled="f" o:preferrelative="t" stroked="f" coordsize="21600,21600">
          <v:path/>
          <v:fill on="f" focussize="0,0"/>
          <v:stroke on="f" joinstyle="miter"/>
          <v:imagedata r:id="rId1" r:href="rId2" o:title=""/>
          <o:lock v:ext="edit" aspectratio="t"/>
        </v:shape>
      </w:pict>
    </w:r>
    <w:r>
      <w:rPr>
        <w:rFonts w:hint="eastAsia"/>
        <w:color w:val="FFFFFF"/>
        <w:sz w:val="2"/>
        <w:szCs w:val="2"/>
      </w:rPr>
      <w:pict>
        <v:shape id="_x0000_i1029" o:spt="136" alt="学科网 zxxk.com" type="#_x0000_t136" style="height:0.85pt;width:0.85pt;" filled="f" stroked="f" coordsize="21600,21600">
          <v:path/>
          <v:fill on="f" color2="#AAAAAA" focussize="0,0"/>
          <v:stroke on="f" color="#FFFFFF"/>
          <v:imagedata o:title=""/>
          <o:lock v:ext="edit"/>
          <v:textpath on="t" fitshape="t" fitpath="t" trim="t" xscale="f" string="学科网（北京）股份有限公司 " style="font-family:宋体;font-size:8pt;v-rotate-letters:f;v-same-letter-heights:f;v-text-align:center;v-text-spacing:78650f;"/>
          <w10:wrap type="none"/>
          <w10:anchorlock/>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NotTrackMoves/>
  <w:attachedTemplate r:id="rId1"/>
  <w:documentProtection w:enforcement="0"/>
  <w:defaultTabStop w:val="425"/>
  <w:drawingGridHorizontalSpacing w:val="105"/>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docVars>
    <w:docVar w:name="commondata" w:val="eyJoZGlkIjoiZWZiNmNkMTdjMGEwMTkxM2MzNzRlMDgyMWY5MzA4ZGIifQ=="/>
  </w:docVars>
  <w:rsids>
    <w:rsidRoot w:val="00A12A69"/>
    <w:rsid w:val="0000011F"/>
    <w:rsid w:val="0000131C"/>
    <w:rsid w:val="00001375"/>
    <w:rsid w:val="00002874"/>
    <w:rsid w:val="00002FF6"/>
    <w:rsid w:val="00004461"/>
    <w:rsid w:val="00004EBE"/>
    <w:rsid w:val="00010B37"/>
    <w:rsid w:val="00011240"/>
    <w:rsid w:val="00014A29"/>
    <w:rsid w:val="000205BA"/>
    <w:rsid w:val="00021E13"/>
    <w:rsid w:val="00024C79"/>
    <w:rsid w:val="00025DC4"/>
    <w:rsid w:val="0003168D"/>
    <w:rsid w:val="0003196D"/>
    <w:rsid w:val="000360CB"/>
    <w:rsid w:val="00036569"/>
    <w:rsid w:val="00043819"/>
    <w:rsid w:val="000448AB"/>
    <w:rsid w:val="0004700E"/>
    <w:rsid w:val="0006050C"/>
    <w:rsid w:val="000605B7"/>
    <w:rsid w:val="00063420"/>
    <w:rsid w:val="00064C50"/>
    <w:rsid w:val="00064E51"/>
    <w:rsid w:val="000667B6"/>
    <w:rsid w:val="00070020"/>
    <w:rsid w:val="00070C4D"/>
    <w:rsid w:val="00075121"/>
    <w:rsid w:val="000752A9"/>
    <w:rsid w:val="00076959"/>
    <w:rsid w:val="0008490A"/>
    <w:rsid w:val="0008534C"/>
    <w:rsid w:val="00093948"/>
    <w:rsid w:val="00093CC1"/>
    <w:rsid w:val="00093FE4"/>
    <w:rsid w:val="00094A3A"/>
    <w:rsid w:val="000979A3"/>
    <w:rsid w:val="000A1469"/>
    <w:rsid w:val="000A1806"/>
    <w:rsid w:val="000A1A82"/>
    <w:rsid w:val="000A27DB"/>
    <w:rsid w:val="000A3FA1"/>
    <w:rsid w:val="000A42B1"/>
    <w:rsid w:val="000A5180"/>
    <w:rsid w:val="000A6F7F"/>
    <w:rsid w:val="000A7108"/>
    <w:rsid w:val="000A727F"/>
    <w:rsid w:val="000B0030"/>
    <w:rsid w:val="000B1C86"/>
    <w:rsid w:val="000B2BC4"/>
    <w:rsid w:val="000B4118"/>
    <w:rsid w:val="000B5382"/>
    <w:rsid w:val="000B7396"/>
    <w:rsid w:val="000C3330"/>
    <w:rsid w:val="000C45F8"/>
    <w:rsid w:val="000D1323"/>
    <w:rsid w:val="000D183E"/>
    <w:rsid w:val="000D64BB"/>
    <w:rsid w:val="000D65F4"/>
    <w:rsid w:val="000D6DE1"/>
    <w:rsid w:val="000D75C2"/>
    <w:rsid w:val="000E49AD"/>
    <w:rsid w:val="000E49CA"/>
    <w:rsid w:val="000F0C16"/>
    <w:rsid w:val="000F20C8"/>
    <w:rsid w:val="000F28A4"/>
    <w:rsid w:val="000F3D62"/>
    <w:rsid w:val="000F705D"/>
    <w:rsid w:val="0010161D"/>
    <w:rsid w:val="00103107"/>
    <w:rsid w:val="00103354"/>
    <w:rsid w:val="00103C94"/>
    <w:rsid w:val="00107D8E"/>
    <w:rsid w:val="001104E3"/>
    <w:rsid w:val="0011389F"/>
    <w:rsid w:val="00114674"/>
    <w:rsid w:val="00115A10"/>
    <w:rsid w:val="00116533"/>
    <w:rsid w:val="00117671"/>
    <w:rsid w:val="00120315"/>
    <w:rsid w:val="00122160"/>
    <w:rsid w:val="00125BD4"/>
    <w:rsid w:val="00127534"/>
    <w:rsid w:val="00131425"/>
    <w:rsid w:val="00133CEB"/>
    <w:rsid w:val="0013474D"/>
    <w:rsid w:val="00135368"/>
    <w:rsid w:val="00137C40"/>
    <w:rsid w:val="001433D5"/>
    <w:rsid w:val="00144430"/>
    <w:rsid w:val="00145980"/>
    <w:rsid w:val="0014712A"/>
    <w:rsid w:val="0014734A"/>
    <w:rsid w:val="00151D99"/>
    <w:rsid w:val="001524C2"/>
    <w:rsid w:val="00152ABD"/>
    <w:rsid w:val="00155376"/>
    <w:rsid w:val="001560C0"/>
    <w:rsid w:val="00161AA6"/>
    <w:rsid w:val="00162DD1"/>
    <w:rsid w:val="00165796"/>
    <w:rsid w:val="001664F9"/>
    <w:rsid w:val="00166E97"/>
    <w:rsid w:val="00167004"/>
    <w:rsid w:val="00167C1F"/>
    <w:rsid w:val="00170EA9"/>
    <w:rsid w:val="00171772"/>
    <w:rsid w:val="0017355A"/>
    <w:rsid w:val="00175631"/>
    <w:rsid w:val="0017654B"/>
    <w:rsid w:val="00176DA5"/>
    <w:rsid w:val="001774E7"/>
    <w:rsid w:val="00180EC8"/>
    <w:rsid w:val="001878E2"/>
    <w:rsid w:val="001904CC"/>
    <w:rsid w:val="00193817"/>
    <w:rsid w:val="00195A10"/>
    <w:rsid w:val="00197B3F"/>
    <w:rsid w:val="00197F6F"/>
    <w:rsid w:val="001A0056"/>
    <w:rsid w:val="001A4E02"/>
    <w:rsid w:val="001A4E86"/>
    <w:rsid w:val="001A78CD"/>
    <w:rsid w:val="001B0AE3"/>
    <w:rsid w:val="001B4725"/>
    <w:rsid w:val="001C0AD2"/>
    <w:rsid w:val="001C3078"/>
    <w:rsid w:val="001C5E2C"/>
    <w:rsid w:val="001C7A87"/>
    <w:rsid w:val="001D0A97"/>
    <w:rsid w:val="001D2EC2"/>
    <w:rsid w:val="001D6208"/>
    <w:rsid w:val="001D6A39"/>
    <w:rsid w:val="001D7BE4"/>
    <w:rsid w:val="001E0140"/>
    <w:rsid w:val="001E0CC4"/>
    <w:rsid w:val="001E5062"/>
    <w:rsid w:val="001F1F3D"/>
    <w:rsid w:val="001F2738"/>
    <w:rsid w:val="001F2C18"/>
    <w:rsid w:val="001F30B7"/>
    <w:rsid w:val="001F3DB1"/>
    <w:rsid w:val="002011C4"/>
    <w:rsid w:val="00201E86"/>
    <w:rsid w:val="002023B9"/>
    <w:rsid w:val="002034E6"/>
    <w:rsid w:val="00206612"/>
    <w:rsid w:val="00207B82"/>
    <w:rsid w:val="00210A62"/>
    <w:rsid w:val="0021340C"/>
    <w:rsid w:val="00213D7A"/>
    <w:rsid w:val="00216C15"/>
    <w:rsid w:val="0022062A"/>
    <w:rsid w:val="00223769"/>
    <w:rsid w:val="00226352"/>
    <w:rsid w:val="00227BED"/>
    <w:rsid w:val="0023497B"/>
    <w:rsid w:val="00235299"/>
    <w:rsid w:val="002359EC"/>
    <w:rsid w:val="00235C92"/>
    <w:rsid w:val="00240ED2"/>
    <w:rsid w:val="00241093"/>
    <w:rsid w:val="00242867"/>
    <w:rsid w:val="00243F66"/>
    <w:rsid w:val="00244FA2"/>
    <w:rsid w:val="00245C6E"/>
    <w:rsid w:val="00247EBD"/>
    <w:rsid w:val="00250A0F"/>
    <w:rsid w:val="00250E84"/>
    <w:rsid w:val="002512AA"/>
    <w:rsid w:val="00251325"/>
    <w:rsid w:val="00251E96"/>
    <w:rsid w:val="00252541"/>
    <w:rsid w:val="00252E85"/>
    <w:rsid w:val="002532D9"/>
    <w:rsid w:val="00253C30"/>
    <w:rsid w:val="002542D3"/>
    <w:rsid w:val="00257BAF"/>
    <w:rsid w:val="00262406"/>
    <w:rsid w:val="00264654"/>
    <w:rsid w:val="0026501E"/>
    <w:rsid w:val="0026553E"/>
    <w:rsid w:val="00265F8F"/>
    <w:rsid w:val="00270D6F"/>
    <w:rsid w:val="00271974"/>
    <w:rsid w:val="00274721"/>
    <w:rsid w:val="00275591"/>
    <w:rsid w:val="00276CD0"/>
    <w:rsid w:val="00280710"/>
    <w:rsid w:val="00282B21"/>
    <w:rsid w:val="00284391"/>
    <w:rsid w:val="002846F3"/>
    <w:rsid w:val="00285047"/>
    <w:rsid w:val="002861E7"/>
    <w:rsid w:val="0028760E"/>
    <w:rsid w:val="00290844"/>
    <w:rsid w:val="00291059"/>
    <w:rsid w:val="002956B8"/>
    <w:rsid w:val="00296F67"/>
    <w:rsid w:val="002971C0"/>
    <w:rsid w:val="00297AC0"/>
    <w:rsid w:val="002A06B8"/>
    <w:rsid w:val="002A0C8F"/>
    <w:rsid w:val="002A1178"/>
    <w:rsid w:val="002A1B94"/>
    <w:rsid w:val="002A301B"/>
    <w:rsid w:val="002A3808"/>
    <w:rsid w:val="002A4A71"/>
    <w:rsid w:val="002A626C"/>
    <w:rsid w:val="002A7C45"/>
    <w:rsid w:val="002B0F29"/>
    <w:rsid w:val="002B2672"/>
    <w:rsid w:val="002B29DD"/>
    <w:rsid w:val="002B2E26"/>
    <w:rsid w:val="002B4549"/>
    <w:rsid w:val="002B6977"/>
    <w:rsid w:val="002C3F03"/>
    <w:rsid w:val="002C7834"/>
    <w:rsid w:val="002D1609"/>
    <w:rsid w:val="002D3E3D"/>
    <w:rsid w:val="002D5479"/>
    <w:rsid w:val="002E0147"/>
    <w:rsid w:val="002E034B"/>
    <w:rsid w:val="002E33C1"/>
    <w:rsid w:val="002E7688"/>
    <w:rsid w:val="002F1247"/>
    <w:rsid w:val="002F1F85"/>
    <w:rsid w:val="002F2FD6"/>
    <w:rsid w:val="002F3EDE"/>
    <w:rsid w:val="002F4219"/>
    <w:rsid w:val="00302D3F"/>
    <w:rsid w:val="00302E31"/>
    <w:rsid w:val="0030367E"/>
    <w:rsid w:val="00304D4D"/>
    <w:rsid w:val="00305B2B"/>
    <w:rsid w:val="00307481"/>
    <w:rsid w:val="00311CE4"/>
    <w:rsid w:val="0031312E"/>
    <w:rsid w:val="003158D6"/>
    <w:rsid w:val="00315F1D"/>
    <w:rsid w:val="0032329E"/>
    <w:rsid w:val="003240F3"/>
    <w:rsid w:val="003263DB"/>
    <w:rsid w:val="003278FF"/>
    <w:rsid w:val="003312FE"/>
    <w:rsid w:val="00332B97"/>
    <w:rsid w:val="0033391F"/>
    <w:rsid w:val="0033607F"/>
    <w:rsid w:val="00336906"/>
    <w:rsid w:val="003378AF"/>
    <w:rsid w:val="00342CFA"/>
    <w:rsid w:val="00344F9F"/>
    <w:rsid w:val="00346E29"/>
    <w:rsid w:val="0035252C"/>
    <w:rsid w:val="00353348"/>
    <w:rsid w:val="00356C22"/>
    <w:rsid w:val="0035760A"/>
    <w:rsid w:val="00357F6A"/>
    <w:rsid w:val="00362F12"/>
    <w:rsid w:val="00367C2E"/>
    <w:rsid w:val="0037215B"/>
    <w:rsid w:val="003808C7"/>
    <w:rsid w:val="00380E90"/>
    <w:rsid w:val="00382027"/>
    <w:rsid w:val="0038502C"/>
    <w:rsid w:val="003927DB"/>
    <w:rsid w:val="00394C6E"/>
    <w:rsid w:val="00395903"/>
    <w:rsid w:val="00396311"/>
    <w:rsid w:val="00396E7B"/>
    <w:rsid w:val="00397085"/>
    <w:rsid w:val="003A108E"/>
    <w:rsid w:val="003A1A4C"/>
    <w:rsid w:val="003A3455"/>
    <w:rsid w:val="003A714F"/>
    <w:rsid w:val="003B00E4"/>
    <w:rsid w:val="003B3F0B"/>
    <w:rsid w:val="003B54EF"/>
    <w:rsid w:val="003B601A"/>
    <w:rsid w:val="003B6884"/>
    <w:rsid w:val="003C13A8"/>
    <w:rsid w:val="003C37C7"/>
    <w:rsid w:val="003C3963"/>
    <w:rsid w:val="003C4AEA"/>
    <w:rsid w:val="003C62D9"/>
    <w:rsid w:val="003C79A5"/>
    <w:rsid w:val="003D1760"/>
    <w:rsid w:val="003D616C"/>
    <w:rsid w:val="003D6E05"/>
    <w:rsid w:val="003D79A5"/>
    <w:rsid w:val="003E0319"/>
    <w:rsid w:val="003E1617"/>
    <w:rsid w:val="003E24F9"/>
    <w:rsid w:val="003E48E0"/>
    <w:rsid w:val="003E78EE"/>
    <w:rsid w:val="003E7DB3"/>
    <w:rsid w:val="003F03CE"/>
    <w:rsid w:val="003F15E1"/>
    <w:rsid w:val="003F2206"/>
    <w:rsid w:val="003F4646"/>
    <w:rsid w:val="003F4DE8"/>
    <w:rsid w:val="003F5CDA"/>
    <w:rsid w:val="004008F9"/>
    <w:rsid w:val="00403C30"/>
    <w:rsid w:val="004109DE"/>
    <w:rsid w:val="00411E2B"/>
    <w:rsid w:val="00412454"/>
    <w:rsid w:val="004151FC"/>
    <w:rsid w:val="004246BE"/>
    <w:rsid w:val="004263A9"/>
    <w:rsid w:val="00431B8A"/>
    <w:rsid w:val="00432100"/>
    <w:rsid w:val="00437A01"/>
    <w:rsid w:val="00441F3F"/>
    <w:rsid w:val="0044200E"/>
    <w:rsid w:val="00444179"/>
    <w:rsid w:val="00444F03"/>
    <w:rsid w:val="004479A2"/>
    <w:rsid w:val="004501EE"/>
    <w:rsid w:val="004507CE"/>
    <w:rsid w:val="00452FB3"/>
    <w:rsid w:val="0045605E"/>
    <w:rsid w:val="004567B6"/>
    <w:rsid w:val="00462593"/>
    <w:rsid w:val="004644A6"/>
    <w:rsid w:val="0046582E"/>
    <w:rsid w:val="004666CB"/>
    <w:rsid w:val="00466D63"/>
    <w:rsid w:val="0047067D"/>
    <w:rsid w:val="00470B23"/>
    <w:rsid w:val="00470BCB"/>
    <w:rsid w:val="00470FE6"/>
    <w:rsid w:val="0047126E"/>
    <w:rsid w:val="004712F4"/>
    <w:rsid w:val="00481EDC"/>
    <w:rsid w:val="00485D8A"/>
    <w:rsid w:val="004862F7"/>
    <w:rsid w:val="004908C4"/>
    <w:rsid w:val="004964C8"/>
    <w:rsid w:val="0049685C"/>
    <w:rsid w:val="004A1803"/>
    <w:rsid w:val="004A1D1D"/>
    <w:rsid w:val="004A3DC0"/>
    <w:rsid w:val="004B1815"/>
    <w:rsid w:val="004B2E83"/>
    <w:rsid w:val="004B4377"/>
    <w:rsid w:val="004B5A19"/>
    <w:rsid w:val="004B6BBE"/>
    <w:rsid w:val="004B7E87"/>
    <w:rsid w:val="004C1E7D"/>
    <w:rsid w:val="004C2153"/>
    <w:rsid w:val="004C5183"/>
    <w:rsid w:val="004C56BE"/>
    <w:rsid w:val="004C7445"/>
    <w:rsid w:val="004C782E"/>
    <w:rsid w:val="004D061F"/>
    <w:rsid w:val="004D1001"/>
    <w:rsid w:val="004D1BAE"/>
    <w:rsid w:val="004D65D2"/>
    <w:rsid w:val="004D6A04"/>
    <w:rsid w:val="004E0A67"/>
    <w:rsid w:val="004E20C0"/>
    <w:rsid w:val="004E37BF"/>
    <w:rsid w:val="004E3917"/>
    <w:rsid w:val="004E3983"/>
    <w:rsid w:val="004E593F"/>
    <w:rsid w:val="004E5E5B"/>
    <w:rsid w:val="004E6336"/>
    <w:rsid w:val="004E7781"/>
    <w:rsid w:val="004F00BF"/>
    <w:rsid w:val="004F0FAE"/>
    <w:rsid w:val="004F1D1A"/>
    <w:rsid w:val="004F29A4"/>
    <w:rsid w:val="004F44E3"/>
    <w:rsid w:val="004F6666"/>
    <w:rsid w:val="00500171"/>
    <w:rsid w:val="00502E79"/>
    <w:rsid w:val="00517ABE"/>
    <w:rsid w:val="0052009D"/>
    <w:rsid w:val="00521D33"/>
    <w:rsid w:val="00524E2E"/>
    <w:rsid w:val="005352FB"/>
    <w:rsid w:val="005356CD"/>
    <w:rsid w:val="005411E9"/>
    <w:rsid w:val="00545524"/>
    <w:rsid w:val="005466C3"/>
    <w:rsid w:val="00550525"/>
    <w:rsid w:val="00551E82"/>
    <w:rsid w:val="00560C66"/>
    <w:rsid w:val="00561841"/>
    <w:rsid w:val="005625BC"/>
    <w:rsid w:val="00562670"/>
    <w:rsid w:val="005641FE"/>
    <w:rsid w:val="00564BAC"/>
    <w:rsid w:val="00564C3E"/>
    <w:rsid w:val="00573F54"/>
    <w:rsid w:val="0057649E"/>
    <w:rsid w:val="00576EB1"/>
    <w:rsid w:val="00581C73"/>
    <w:rsid w:val="00581C7E"/>
    <w:rsid w:val="005826E0"/>
    <w:rsid w:val="0058479B"/>
    <w:rsid w:val="005854C9"/>
    <w:rsid w:val="0058564D"/>
    <w:rsid w:val="00586AF3"/>
    <w:rsid w:val="00586C8F"/>
    <w:rsid w:val="00591222"/>
    <w:rsid w:val="00596112"/>
    <w:rsid w:val="005A0142"/>
    <w:rsid w:val="005A0F77"/>
    <w:rsid w:val="005A7EF4"/>
    <w:rsid w:val="005B0012"/>
    <w:rsid w:val="005B219E"/>
    <w:rsid w:val="005B3188"/>
    <w:rsid w:val="005B3B0B"/>
    <w:rsid w:val="005C1EAF"/>
    <w:rsid w:val="005C2678"/>
    <w:rsid w:val="005C6C24"/>
    <w:rsid w:val="005D261C"/>
    <w:rsid w:val="005D41C6"/>
    <w:rsid w:val="005D4AAF"/>
    <w:rsid w:val="005D7033"/>
    <w:rsid w:val="005D75A4"/>
    <w:rsid w:val="005D7ABB"/>
    <w:rsid w:val="005E1C9D"/>
    <w:rsid w:val="005E236E"/>
    <w:rsid w:val="005E31B9"/>
    <w:rsid w:val="005E3557"/>
    <w:rsid w:val="005E3DB6"/>
    <w:rsid w:val="005E45BE"/>
    <w:rsid w:val="005E4C72"/>
    <w:rsid w:val="005E578D"/>
    <w:rsid w:val="005E7764"/>
    <w:rsid w:val="005F04E3"/>
    <w:rsid w:val="005F0A57"/>
    <w:rsid w:val="005F299E"/>
    <w:rsid w:val="005F53D1"/>
    <w:rsid w:val="00605B9C"/>
    <w:rsid w:val="006078AA"/>
    <w:rsid w:val="00607F9B"/>
    <w:rsid w:val="0061374F"/>
    <w:rsid w:val="00614968"/>
    <w:rsid w:val="00614C7A"/>
    <w:rsid w:val="006153F4"/>
    <w:rsid w:val="00616BE0"/>
    <w:rsid w:val="00617EE3"/>
    <w:rsid w:val="00625185"/>
    <w:rsid w:val="00625428"/>
    <w:rsid w:val="006339F0"/>
    <w:rsid w:val="006345BA"/>
    <w:rsid w:val="00636D83"/>
    <w:rsid w:val="00637CA4"/>
    <w:rsid w:val="00641316"/>
    <w:rsid w:val="00641620"/>
    <w:rsid w:val="0064232B"/>
    <w:rsid w:val="006447F3"/>
    <w:rsid w:val="0064513E"/>
    <w:rsid w:val="006457B2"/>
    <w:rsid w:val="00647854"/>
    <w:rsid w:val="00653014"/>
    <w:rsid w:val="00661FED"/>
    <w:rsid w:val="00662512"/>
    <w:rsid w:val="00665558"/>
    <w:rsid w:val="0066676B"/>
    <w:rsid w:val="00666CAE"/>
    <w:rsid w:val="00672A03"/>
    <w:rsid w:val="006731E1"/>
    <w:rsid w:val="00676D08"/>
    <w:rsid w:val="00676D3C"/>
    <w:rsid w:val="00677FF7"/>
    <w:rsid w:val="006805E1"/>
    <w:rsid w:val="00685759"/>
    <w:rsid w:val="006904E8"/>
    <w:rsid w:val="00690C2F"/>
    <w:rsid w:val="0069115C"/>
    <w:rsid w:val="0069273F"/>
    <w:rsid w:val="00695CCC"/>
    <w:rsid w:val="0069614B"/>
    <w:rsid w:val="006A3436"/>
    <w:rsid w:val="006A3666"/>
    <w:rsid w:val="006A6AC2"/>
    <w:rsid w:val="006A753F"/>
    <w:rsid w:val="006A7E8E"/>
    <w:rsid w:val="006B0077"/>
    <w:rsid w:val="006B14D8"/>
    <w:rsid w:val="006B1608"/>
    <w:rsid w:val="006B1F87"/>
    <w:rsid w:val="006B401B"/>
    <w:rsid w:val="006B6CDA"/>
    <w:rsid w:val="006C02C9"/>
    <w:rsid w:val="006C1430"/>
    <w:rsid w:val="006C1D41"/>
    <w:rsid w:val="006C215C"/>
    <w:rsid w:val="006C4C83"/>
    <w:rsid w:val="006C5338"/>
    <w:rsid w:val="006C74FA"/>
    <w:rsid w:val="006D2008"/>
    <w:rsid w:val="006D2E5D"/>
    <w:rsid w:val="006D3C60"/>
    <w:rsid w:val="006D4445"/>
    <w:rsid w:val="006D491F"/>
    <w:rsid w:val="006D6318"/>
    <w:rsid w:val="006E0319"/>
    <w:rsid w:val="006E2230"/>
    <w:rsid w:val="006E2468"/>
    <w:rsid w:val="006E3F06"/>
    <w:rsid w:val="006E4693"/>
    <w:rsid w:val="006E5E0B"/>
    <w:rsid w:val="006E71D5"/>
    <w:rsid w:val="006F26C6"/>
    <w:rsid w:val="006F30F7"/>
    <w:rsid w:val="006F3AF0"/>
    <w:rsid w:val="007069AB"/>
    <w:rsid w:val="0071266B"/>
    <w:rsid w:val="00714A3A"/>
    <w:rsid w:val="0071551B"/>
    <w:rsid w:val="00717F1E"/>
    <w:rsid w:val="00720EC6"/>
    <w:rsid w:val="00723B6C"/>
    <w:rsid w:val="00727AFA"/>
    <w:rsid w:val="00727C56"/>
    <w:rsid w:val="00730D4D"/>
    <w:rsid w:val="00731C92"/>
    <w:rsid w:val="0073467E"/>
    <w:rsid w:val="007376D6"/>
    <w:rsid w:val="00744378"/>
    <w:rsid w:val="0074460B"/>
    <w:rsid w:val="00744FF8"/>
    <w:rsid w:val="00746673"/>
    <w:rsid w:val="00753256"/>
    <w:rsid w:val="0075347E"/>
    <w:rsid w:val="0075385C"/>
    <w:rsid w:val="00753977"/>
    <w:rsid w:val="00753C0E"/>
    <w:rsid w:val="00754D83"/>
    <w:rsid w:val="00754FDC"/>
    <w:rsid w:val="0075572A"/>
    <w:rsid w:val="00760D81"/>
    <w:rsid w:val="007625A5"/>
    <w:rsid w:val="00763219"/>
    <w:rsid w:val="00763700"/>
    <w:rsid w:val="00763E59"/>
    <w:rsid w:val="00766EBF"/>
    <w:rsid w:val="00772E08"/>
    <w:rsid w:val="00774F7D"/>
    <w:rsid w:val="007857B9"/>
    <w:rsid w:val="0078629A"/>
    <w:rsid w:val="0079112D"/>
    <w:rsid w:val="0079136B"/>
    <w:rsid w:val="007918B0"/>
    <w:rsid w:val="00792C6F"/>
    <w:rsid w:val="0079394A"/>
    <w:rsid w:val="00794899"/>
    <w:rsid w:val="00796394"/>
    <w:rsid w:val="00796C04"/>
    <w:rsid w:val="00797855"/>
    <w:rsid w:val="007A064D"/>
    <w:rsid w:val="007A135D"/>
    <w:rsid w:val="007A1886"/>
    <w:rsid w:val="007A3E18"/>
    <w:rsid w:val="007A7E45"/>
    <w:rsid w:val="007B0429"/>
    <w:rsid w:val="007B0FCB"/>
    <w:rsid w:val="007B1044"/>
    <w:rsid w:val="007B1736"/>
    <w:rsid w:val="007B1AEB"/>
    <w:rsid w:val="007B2178"/>
    <w:rsid w:val="007B2904"/>
    <w:rsid w:val="007B2E6F"/>
    <w:rsid w:val="007B4BBF"/>
    <w:rsid w:val="007B6EBA"/>
    <w:rsid w:val="007C0AAB"/>
    <w:rsid w:val="007C1DF0"/>
    <w:rsid w:val="007C595C"/>
    <w:rsid w:val="007C71D1"/>
    <w:rsid w:val="007D0ADA"/>
    <w:rsid w:val="007D2482"/>
    <w:rsid w:val="007D2492"/>
    <w:rsid w:val="007D275F"/>
    <w:rsid w:val="007D42C0"/>
    <w:rsid w:val="007D5B67"/>
    <w:rsid w:val="007D7F7E"/>
    <w:rsid w:val="007E2EFE"/>
    <w:rsid w:val="007E4625"/>
    <w:rsid w:val="007E5D74"/>
    <w:rsid w:val="007F0090"/>
    <w:rsid w:val="007F0399"/>
    <w:rsid w:val="007F4051"/>
    <w:rsid w:val="007F477D"/>
    <w:rsid w:val="007F6E08"/>
    <w:rsid w:val="007F7CCC"/>
    <w:rsid w:val="0080230D"/>
    <w:rsid w:val="00802ED0"/>
    <w:rsid w:val="00804A8C"/>
    <w:rsid w:val="00806044"/>
    <w:rsid w:val="008063A9"/>
    <w:rsid w:val="008103EE"/>
    <w:rsid w:val="0081094A"/>
    <w:rsid w:val="0081511C"/>
    <w:rsid w:val="00815B2E"/>
    <w:rsid w:val="008164D2"/>
    <w:rsid w:val="00820836"/>
    <w:rsid w:val="0082099D"/>
    <w:rsid w:val="008233E4"/>
    <w:rsid w:val="00823907"/>
    <w:rsid w:val="00824CE4"/>
    <w:rsid w:val="0082514D"/>
    <w:rsid w:val="00827AA3"/>
    <w:rsid w:val="00832AB8"/>
    <w:rsid w:val="00834649"/>
    <w:rsid w:val="0083624C"/>
    <w:rsid w:val="00836D37"/>
    <w:rsid w:val="0084265E"/>
    <w:rsid w:val="00842E56"/>
    <w:rsid w:val="0084497B"/>
    <w:rsid w:val="0084642D"/>
    <w:rsid w:val="00852B6A"/>
    <w:rsid w:val="00855066"/>
    <w:rsid w:val="00855B95"/>
    <w:rsid w:val="008626A5"/>
    <w:rsid w:val="008646A4"/>
    <w:rsid w:val="00865EA2"/>
    <w:rsid w:val="00866E4D"/>
    <w:rsid w:val="008702C2"/>
    <w:rsid w:val="00872D75"/>
    <w:rsid w:val="00877575"/>
    <w:rsid w:val="00882694"/>
    <w:rsid w:val="00885654"/>
    <w:rsid w:val="00887F1C"/>
    <w:rsid w:val="00890CA2"/>
    <w:rsid w:val="00890D64"/>
    <w:rsid w:val="00896CC2"/>
    <w:rsid w:val="008A1827"/>
    <w:rsid w:val="008A42F3"/>
    <w:rsid w:val="008A6AE8"/>
    <w:rsid w:val="008B0E9E"/>
    <w:rsid w:val="008B0F55"/>
    <w:rsid w:val="008B6B26"/>
    <w:rsid w:val="008C090D"/>
    <w:rsid w:val="008C2E0C"/>
    <w:rsid w:val="008C3631"/>
    <w:rsid w:val="008C4AB1"/>
    <w:rsid w:val="008C4DED"/>
    <w:rsid w:val="008C6471"/>
    <w:rsid w:val="008C7D1F"/>
    <w:rsid w:val="008D2B2C"/>
    <w:rsid w:val="008D455D"/>
    <w:rsid w:val="008E043E"/>
    <w:rsid w:val="008E085C"/>
    <w:rsid w:val="008E1F79"/>
    <w:rsid w:val="008E3D17"/>
    <w:rsid w:val="008E4D42"/>
    <w:rsid w:val="008E5322"/>
    <w:rsid w:val="008F1DAD"/>
    <w:rsid w:val="008F46C8"/>
    <w:rsid w:val="008F6041"/>
    <w:rsid w:val="008F6A9A"/>
    <w:rsid w:val="008F6F2D"/>
    <w:rsid w:val="0090271F"/>
    <w:rsid w:val="009047F0"/>
    <w:rsid w:val="009052E2"/>
    <w:rsid w:val="009060E7"/>
    <w:rsid w:val="00906CF0"/>
    <w:rsid w:val="00913338"/>
    <w:rsid w:val="00915078"/>
    <w:rsid w:val="0091677F"/>
    <w:rsid w:val="00916CF4"/>
    <w:rsid w:val="00921AB6"/>
    <w:rsid w:val="00922CB1"/>
    <w:rsid w:val="00922F66"/>
    <w:rsid w:val="00923A7D"/>
    <w:rsid w:val="00923B5E"/>
    <w:rsid w:val="00923FC1"/>
    <w:rsid w:val="00924B5A"/>
    <w:rsid w:val="0092588D"/>
    <w:rsid w:val="00927811"/>
    <w:rsid w:val="009279E8"/>
    <w:rsid w:val="00930EE2"/>
    <w:rsid w:val="00930FB7"/>
    <w:rsid w:val="0093277D"/>
    <w:rsid w:val="00932E42"/>
    <w:rsid w:val="00934147"/>
    <w:rsid w:val="00934EC3"/>
    <w:rsid w:val="0093504D"/>
    <w:rsid w:val="00937F73"/>
    <w:rsid w:val="009412BC"/>
    <w:rsid w:val="0094247F"/>
    <w:rsid w:val="00946580"/>
    <w:rsid w:val="00947A8A"/>
    <w:rsid w:val="00947DA0"/>
    <w:rsid w:val="009504F9"/>
    <w:rsid w:val="00950E2F"/>
    <w:rsid w:val="00951052"/>
    <w:rsid w:val="00952248"/>
    <w:rsid w:val="0095362E"/>
    <w:rsid w:val="00956A9B"/>
    <w:rsid w:val="009578AF"/>
    <w:rsid w:val="00963239"/>
    <w:rsid w:val="00965CA7"/>
    <w:rsid w:val="00972CBF"/>
    <w:rsid w:val="00975915"/>
    <w:rsid w:val="009801A9"/>
    <w:rsid w:val="009824CC"/>
    <w:rsid w:val="00984EFF"/>
    <w:rsid w:val="00985DCF"/>
    <w:rsid w:val="00987FE1"/>
    <w:rsid w:val="00990024"/>
    <w:rsid w:val="00991456"/>
    <w:rsid w:val="0099270C"/>
    <w:rsid w:val="00995A6A"/>
    <w:rsid w:val="0099639D"/>
    <w:rsid w:val="009963B1"/>
    <w:rsid w:val="009A046F"/>
    <w:rsid w:val="009A074E"/>
    <w:rsid w:val="009A14EA"/>
    <w:rsid w:val="009A3C4B"/>
    <w:rsid w:val="009A66C7"/>
    <w:rsid w:val="009A6D7D"/>
    <w:rsid w:val="009A6E4D"/>
    <w:rsid w:val="009B346A"/>
    <w:rsid w:val="009B396A"/>
    <w:rsid w:val="009B4B5E"/>
    <w:rsid w:val="009B72A2"/>
    <w:rsid w:val="009C0C88"/>
    <w:rsid w:val="009C1FC5"/>
    <w:rsid w:val="009C2035"/>
    <w:rsid w:val="009C36F7"/>
    <w:rsid w:val="009C3A97"/>
    <w:rsid w:val="009C3B11"/>
    <w:rsid w:val="009C4999"/>
    <w:rsid w:val="009C6145"/>
    <w:rsid w:val="009D1ABC"/>
    <w:rsid w:val="009D437B"/>
    <w:rsid w:val="009D6E7E"/>
    <w:rsid w:val="009E0224"/>
    <w:rsid w:val="009E2B4A"/>
    <w:rsid w:val="009E5AAD"/>
    <w:rsid w:val="009F0BDD"/>
    <w:rsid w:val="009F69F7"/>
    <w:rsid w:val="009F6B04"/>
    <w:rsid w:val="009F7C24"/>
    <w:rsid w:val="00A00EAF"/>
    <w:rsid w:val="00A013CF"/>
    <w:rsid w:val="00A01510"/>
    <w:rsid w:val="00A01C99"/>
    <w:rsid w:val="00A01EA7"/>
    <w:rsid w:val="00A04059"/>
    <w:rsid w:val="00A07FB3"/>
    <w:rsid w:val="00A11101"/>
    <w:rsid w:val="00A12A69"/>
    <w:rsid w:val="00A14AAB"/>
    <w:rsid w:val="00A16299"/>
    <w:rsid w:val="00A174D1"/>
    <w:rsid w:val="00A208C7"/>
    <w:rsid w:val="00A2244E"/>
    <w:rsid w:val="00A24F92"/>
    <w:rsid w:val="00A25148"/>
    <w:rsid w:val="00A30F78"/>
    <w:rsid w:val="00A3122C"/>
    <w:rsid w:val="00A317A8"/>
    <w:rsid w:val="00A36BAF"/>
    <w:rsid w:val="00A404A3"/>
    <w:rsid w:val="00A40677"/>
    <w:rsid w:val="00A40E43"/>
    <w:rsid w:val="00A447AA"/>
    <w:rsid w:val="00A47B8E"/>
    <w:rsid w:val="00A512FF"/>
    <w:rsid w:val="00A53152"/>
    <w:rsid w:val="00A56D54"/>
    <w:rsid w:val="00A5749E"/>
    <w:rsid w:val="00A57869"/>
    <w:rsid w:val="00A6087A"/>
    <w:rsid w:val="00A60C12"/>
    <w:rsid w:val="00A61B73"/>
    <w:rsid w:val="00A63AA7"/>
    <w:rsid w:val="00A658A0"/>
    <w:rsid w:val="00A67CF6"/>
    <w:rsid w:val="00A704B5"/>
    <w:rsid w:val="00A7164E"/>
    <w:rsid w:val="00A720E6"/>
    <w:rsid w:val="00A74D55"/>
    <w:rsid w:val="00A77216"/>
    <w:rsid w:val="00A8530E"/>
    <w:rsid w:val="00A85F1E"/>
    <w:rsid w:val="00A86DF5"/>
    <w:rsid w:val="00A86E05"/>
    <w:rsid w:val="00A90379"/>
    <w:rsid w:val="00A913D6"/>
    <w:rsid w:val="00A91FF2"/>
    <w:rsid w:val="00A92867"/>
    <w:rsid w:val="00A94391"/>
    <w:rsid w:val="00A94E0D"/>
    <w:rsid w:val="00A96D7B"/>
    <w:rsid w:val="00A978E7"/>
    <w:rsid w:val="00A979DA"/>
    <w:rsid w:val="00AA11B4"/>
    <w:rsid w:val="00AA7AD6"/>
    <w:rsid w:val="00AB057D"/>
    <w:rsid w:val="00AB16F2"/>
    <w:rsid w:val="00AB1919"/>
    <w:rsid w:val="00AB226B"/>
    <w:rsid w:val="00AB6913"/>
    <w:rsid w:val="00AC2CF4"/>
    <w:rsid w:val="00AC7545"/>
    <w:rsid w:val="00AD0894"/>
    <w:rsid w:val="00AD10C3"/>
    <w:rsid w:val="00AD3569"/>
    <w:rsid w:val="00AD4B8A"/>
    <w:rsid w:val="00AD79D0"/>
    <w:rsid w:val="00AE0996"/>
    <w:rsid w:val="00AE3FE9"/>
    <w:rsid w:val="00AE4715"/>
    <w:rsid w:val="00AE4F98"/>
    <w:rsid w:val="00AE7E94"/>
    <w:rsid w:val="00AF231F"/>
    <w:rsid w:val="00AF38BD"/>
    <w:rsid w:val="00AF3AF2"/>
    <w:rsid w:val="00AF47C4"/>
    <w:rsid w:val="00AF69D1"/>
    <w:rsid w:val="00B003BA"/>
    <w:rsid w:val="00B02C6F"/>
    <w:rsid w:val="00B04408"/>
    <w:rsid w:val="00B046A4"/>
    <w:rsid w:val="00B04AD2"/>
    <w:rsid w:val="00B05945"/>
    <w:rsid w:val="00B05D2E"/>
    <w:rsid w:val="00B0650C"/>
    <w:rsid w:val="00B0790B"/>
    <w:rsid w:val="00B11BD8"/>
    <w:rsid w:val="00B14AD6"/>
    <w:rsid w:val="00B14B09"/>
    <w:rsid w:val="00B1589E"/>
    <w:rsid w:val="00B15987"/>
    <w:rsid w:val="00B17927"/>
    <w:rsid w:val="00B200C9"/>
    <w:rsid w:val="00B2228E"/>
    <w:rsid w:val="00B233E8"/>
    <w:rsid w:val="00B26C24"/>
    <w:rsid w:val="00B27106"/>
    <w:rsid w:val="00B305A1"/>
    <w:rsid w:val="00B31021"/>
    <w:rsid w:val="00B31948"/>
    <w:rsid w:val="00B336DF"/>
    <w:rsid w:val="00B41622"/>
    <w:rsid w:val="00B419D5"/>
    <w:rsid w:val="00B41DD3"/>
    <w:rsid w:val="00B421ED"/>
    <w:rsid w:val="00B429F2"/>
    <w:rsid w:val="00B453E8"/>
    <w:rsid w:val="00B455AE"/>
    <w:rsid w:val="00B459A8"/>
    <w:rsid w:val="00B4660A"/>
    <w:rsid w:val="00B47A84"/>
    <w:rsid w:val="00B5561A"/>
    <w:rsid w:val="00B56D9E"/>
    <w:rsid w:val="00B5735F"/>
    <w:rsid w:val="00B57AD8"/>
    <w:rsid w:val="00B61432"/>
    <w:rsid w:val="00B63150"/>
    <w:rsid w:val="00B63739"/>
    <w:rsid w:val="00B644B5"/>
    <w:rsid w:val="00B65F1E"/>
    <w:rsid w:val="00B66C9F"/>
    <w:rsid w:val="00B671FF"/>
    <w:rsid w:val="00B716C5"/>
    <w:rsid w:val="00B71B28"/>
    <w:rsid w:val="00B73185"/>
    <w:rsid w:val="00B7409E"/>
    <w:rsid w:val="00B74EF1"/>
    <w:rsid w:val="00B74FCB"/>
    <w:rsid w:val="00B75CA1"/>
    <w:rsid w:val="00B76A5B"/>
    <w:rsid w:val="00B76C47"/>
    <w:rsid w:val="00B77BE5"/>
    <w:rsid w:val="00B80CE2"/>
    <w:rsid w:val="00B80D2D"/>
    <w:rsid w:val="00B83919"/>
    <w:rsid w:val="00B84A33"/>
    <w:rsid w:val="00B90E11"/>
    <w:rsid w:val="00B92B89"/>
    <w:rsid w:val="00B93193"/>
    <w:rsid w:val="00B93E59"/>
    <w:rsid w:val="00B94556"/>
    <w:rsid w:val="00B9495C"/>
    <w:rsid w:val="00B97662"/>
    <w:rsid w:val="00BA1BEB"/>
    <w:rsid w:val="00BA1E92"/>
    <w:rsid w:val="00BA1EDF"/>
    <w:rsid w:val="00BA29BA"/>
    <w:rsid w:val="00BA474D"/>
    <w:rsid w:val="00BB1D0A"/>
    <w:rsid w:val="00BB4F38"/>
    <w:rsid w:val="00BC1029"/>
    <w:rsid w:val="00BC29C9"/>
    <w:rsid w:val="00BC300F"/>
    <w:rsid w:val="00BD0CD9"/>
    <w:rsid w:val="00BD3675"/>
    <w:rsid w:val="00BD4971"/>
    <w:rsid w:val="00BD51AC"/>
    <w:rsid w:val="00BD6785"/>
    <w:rsid w:val="00BE216C"/>
    <w:rsid w:val="00BE2E60"/>
    <w:rsid w:val="00BE3187"/>
    <w:rsid w:val="00BE7110"/>
    <w:rsid w:val="00BF1DFB"/>
    <w:rsid w:val="00BF4E63"/>
    <w:rsid w:val="00C021DA"/>
    <w:rsid w:val="00C02FC6"/>
    <w:rsid w:val="00C047CC"/>
    <w:rsid w:val="00C06497"/>
    <w:rsid w:val="00C06F04"/>
    <w:rsid w:val="00C11EE4"/>
    <w:rsid w:val="00C12B07"/>
    <w:rsid w:val="00C1461D"/>
    <w:rsid w:val="00C14D6F"/>
    <w:rsid w:val="00C202C9"/>
    <w:rsid w:val="00C20867"/>
    <w:rsid w:val="00C26508"/>
    <w:rsid w:val="00C31005"/>
    <w:rsid w:val="00C32D66"/>
    <w:rsid w:val="00C33DB2"/>
    <w:rsid w:val="00C3420D"/>
    <w:rsid w:val="00C37091"/>
    <w:rsid w:val="00C37966"/>
    <w:rsid w:val="00C430CB"/>
    <w:rsid w:val="00C47D87"/>
    <w:rsid w:val="00C52960"/>
    <w:rsid w:val="00C53D78"/>
    <w:rsid w:val="00C56E59"/>
    <w:rsid w:val="00C57D2A"/>
    <w:rsid w:val="00C64493"/>
    <w:rsid w:val="00C66ED4"/>
    <w:rsid w:val="00C67FFC"/>
    <w:rsid w:val="00C70664"/>
    <w:rsid w:val="00C70EAD"/>
    <w:rsid w:val="00C70FC6"/>
    <w:rsid w:val="00C71485"/>
    <w:rsid w:val="00C71B9F"/>
    <w:rsid w:val="00C71C83"/>
    <w:rsid w:val="00C74DA4"/>
    <w:rsid w:val="00C7708E"/>
    <w:rsid w:val="00C8079C"/>
    <w:rsid w:val="00C81AFD"/>
    <w:rsid w:val="00C827EF"/>
    <w:rsid w:val="00C84E84"/>
    <w:rsid w:val="00C85D55"/>
    <w:rsid w:val="00C862E9"/>
    <w:rsid w:val="00C907F2"/>
    <w:rsid w:val="00C90AAC"/>
    <w:rsid w:val="00C93FD2"/>
    <w:rsid w:val="00C943A1"/>
    <w:rsid w:val="00C95208"/>
    <w:rsid w:val="00C95EA9"/>
    <w:rsid w:val="00C971DA"/>
    <w:rsid w:val="00CA00EC"/>
    <w:rsid w:val="00CA32CB"/>
    <w:rsid w:val="00CA3CFB"/>
    <w:rsid w:val="00CA7E88"/>
    <w:rsid w:val="00CB0B8D"/>
    <w:rsid w:val="00CB2C0D"/>
    <w:rsid w:val="00CB3EE9"/>
    <w:rsid w:val="00CB52C8"/>
    <w:rsid w:val="00CB5680"/>
    <w:rsid w:val="00CB7D00"/>
    <w:rsid w:val="00CC0653"/>
    <w:rsid w:val="00CC311D"/>
    <w:rsid w:val="00CC5358"/>
    <w:rsid w:val="00CC7248"/>
    <w:rsid w:val="00CC7DBA"/>
    <w:rsid w:val="00CD1DD1"/>
    <w:rsid w:val="00CD2A23"/>
    <w:rsid w:val="00CD2A4A"/>
    <w:rsid w:val="00CD634A"/>
    <w:rsid w:val="00CD79B6"/>
    <w:rsid w:val="00CE3E8B"/>
    <w:rsid w:val="00CE7B00"/>
    <w:rsid w:val="00CF075A"/>
    <w:rsid w:val="00CF4679"/>
    <w:rsid w:val="00CF5209"/>
    <w:rsid w:val="00CF6A16"/>
    <w:rsid w:val="00D000A2"/>
    <w:rsid w:val="00D015B5"/>
    <w:rsid w:val="00D03C94"/>
    <w:rsid w:val="00D04E9F"/>
    <w:rsid w:val="00D05C2B"/>
    <w:rsid w:val="00D05E4E"/>
    <w:rsid w:val="00D11539"/>
    <w:rsid w:val="00D12226"/>
    <w:rsid w:val="00D12D77"/>
    <w:rsid w:val="00D1336E"/>
    <w:rsid w:val="00D1479A"/>
    <w:rsid w:val="00D14A49"/>
    <w:rsid w:val="00D14ACC"/>
    <w:rsid w:val="00D176C2"/>
    <w:rsid w:val="00D2074A"/>
    <w:rsid w:val="00D212FF"/>
    <w:rsid w:val="00D21362"/>
    <w:rsid w:val="00D219EB"/>
    <w:rsid w:val="00D24063"/>
    <w:rsid w:val="00D2505D"/>
    <w:rsid w:val="00D25419"/>
    <w:rsid w:val="00D25AE5"/>
    <w:rsid w:val="00D26960"/>
    <w:rsid w:val="00D274B8"/>
    <w:rsid w:val="00D27AE4"/>
    <w:rsid w:val="00D32BAC"/>
    <w:rsid w:val="00D3422F"/>
    <w:rsid w:val="00D34DA2"/>
    <w:rsid w:val="00D35DDD"/>
    <w:rsid w:val="00D36B1A"/>
    <w:rsid w:val="00D4034B"/>
    <w:rsid w:val="00D40E53"/>
    <w:rsid w:val="00D414FF"/>
    <w:rsid w:val="00D431F8"/>
    <w:rsid w:val="00D43389"/>
    <w:rsid w:val="00D453C4"/>
    <w:rsid w:val="00D45BD2"/>
    <w:rsid w:val="00D47FCB"/>
    <w:rsid w:val="00D51680"/>
    <w:rsid w:val="00D54510"/>
    <w:rsid w:val="00D54E50"/>
    <w:rsid w:val="00D55A62"/>
    <w:rsid w:val="00D57CF4"/>
    <w:rsid w:val="00D60D5C"/>
    <w:rsid w:val="00D612F5"/>
    <w:rsid w:val="00D62DD2"/>
    <w:rsid w:val="00D63591"/>
    <w:rsid w:val="00D63E45"/>
    <w:rsid w:val="00D64D44"/>
    <w:rsid w:val="00D6637D"/>
    <w:rsid w:val="00D66BC3"/>
    <w:rsid w:val="00D70497"/>
    <w:rsid w:val="00D70DA1"/>
    <w:rsid w:val="00D7142C"/>
    <w:rsid w:val="00D71C48"/>
    <w:rsid w:val="00D72662"/>
    <w:rsid w:val="00D74826"/>
    <w:rsid w:val="00D77605"/>
    <w:rsid w:val="00D80B7F"/>
    <w:rsid w:val="00D80BF9"/>
    <w:rsid w:val="00D814FF"/>
    <w:rsid w:val="00D82819"/>
    <w:rsid w:val="00D86D9B"/>
    <w:rsid w:val="00D87568"/>
    <w:rsid w:val="00D87965"/>
    <w:rsid w:val="00D910A4"/>
    <w:rsid w:val="00D950F7"/>
    <w:rsid w:val="00D960D8"/>
    <w:rsid w:val="00D97235"/>
    <w:rsid w:val="00D9754B"/>
    <w:rsid w:val="00DA05EC"/>
    <w:rsid w:val="00DA27FC"/>
    <w:rsid w:val="00DB5D26"/>
    <w:rsid w:val="00DB6882"/>
    <w:rsid w:val="00DB6CB9"/>
    <w:rsid w:val="00DB7BC0"/>
    <w:rsid w:val="00DC152E"/>
    <w:rsid w:val="00DC29C2"/>
    <w:rsid w:val="00DC5B75"/>
    <w:rsid w:val="00DC6040"/>
    <w:rsid w:val="00DC7056"/>
    <w:rsid w:val="00DD10C0"/>
    <w:rsid w:val="00DD527A"/>
    <w:rsid w:val="00DD556D"/>
    <w:rsid w:val="00DD55C3"/>
    <w:rsid w:val="00DD78FB"/>
    <w:rsid w:val="00DD7A27"/>
    <w:rsid w:val="00DE4838"/>
    <w:rsid w:val="00DE64AA"/>
    <w:rsid w:val="00DF01B4"/>
    <w:rsid w:val="00DF12D9"/>
    <w:rsid w:val="00DF2CB3"/>
    <w:rsid w:val="00DF48EA"/>
    <w:rsid w:val="00E007EF"/>
    <w:rsid w:val="00E03FE8"/>
    <w:rsid w:val="00E049AC"/>
    <w:rsid w:val="00E0648C"/>
    <w:rsid w:val="00E10779"/>
    <w:rsid w:val="00E140DD"/>
    <w:rsid w:val="00E1451A"/>
    <w:rsid w:val="00E15776"/>
    <w:rsid w:val="00E15D92"/>
    <w:rsid w:val="00E1617E"/>
    <w:rsid w:val="00E17B37"/>
    <w:rsid w:val="00E244C7"/>
    <w:rsid w:val="00E25ACA"/>
    <w:rsid w:val="00E260D4"/>
    <w:rsid w:val="00E2714C"/>
    <w:rsid w:val="00E27A94"/>
    <w:rsid w:val="00E31944"/>
    <w:rsid w:val="00E329E8"/>
    <w:rsid w:val="00E33DB7"/>
    <w:rsid w:val="00E34F17"/>
    <w:rsid w:val="00E37046"/>
    <w:rsid w:val="00E42FE5"/>
    <w:rsid w:val="00E458DC"/>
    <w:rsid w:val="00E47F90"/>
    <w:rsid w:val="00E521AB"/>
    <w:rsid w:val="00E5230D"/>
    <w:rsid w:val="00E53BE8"/>
    <w:rsid w:val="00E55A46"/>
    <w:rsid w:val="00E57495"/>
    <w:rsid w:val="00E61BC2"/>
    <w:rsid w:val="00E6399E"/>
    <w:rsid w:val="00E676AC"/>
    <w:rsid w:val="00E70524"/>
    <w:rsid w:val="00E70C8D"/>
    <w:rsid w:val="00E71EAF"/>
    <w:rsid w:val="00E720D8"/>
    <w:rsid w:val="00E738B0"/>
    <w:rsid w:val="00E74B9E"/>
    <w:rsid w:val="00E7536C"/>
    <w:rsid w:val="00E76A83"/>
    <w:rsid w:val="00E83812"/>
    <w:rsid w:val="00E842A6"/>
    <w:rsid w:val="00E84FAB"/>
    <w:rsid w:val="00E870DF"/>
    <w:rsid w:val="00E9025A"/>
    <w:rsid w:val="00E93F8E"/>
    <w:rsid w:val="00E94C5D"/>
    <w:rsid w:val="00E94F70"/>
    <w:rsid w:val="00E959A8"/>
    <w:rsid w:val="00E97021"/>
    <w:rsid w:val="00EA0189"/>
    <w:rsid w:val="00EA3936"/>
    <w:rsid w:val="00EA3F6D"/>
    <w:rsid w:val="00EA486B"/>
    <w:rsid w:val="00EA5299"/>
    <w:rsid w:val="00EA60D1"/>
    <w:rsid w:val="00EA7171"/>
    <w:rsid w:val="00EA7F47"/>
    <w:rsid w:val="00EB5029"/>
    <w:rsid w:val="00EB71BA"/>
    <w:rsid w:val="00EC2414"/>
    <w:rsid w:val="00EC337E"/>
    <w:rsid w:val="00EC4DE5"/>
    <w:rsid w:val="00EC4E4D"/>
    <w:rsid w:val="00EC4E9F"/>
    <w:rsid w:val="00EC56D8"/>
    <w:rsid w:val="00EC5877"/>
    <w:rsid w:val="00EC5D94"/>
    <w:rsid w:val="00EC6331"/>
    <w:rsid w:val="00EC650B"/>
    <w:rsid w:val="00ED0E17"/>
    <w:rsid w:val="00ED47D7"/>
    <w:rsid w:val="00ED6BA2"/>
    <w:rsid w:val="00ED7C2E"/>
    <w:rsid w:val="00ED7ECF"/>
    <w:rsid w:val="00EE0A43"/>
    <w:rsid w:val="00EE1287"/>
    <w:rsid w:val="00EE444D"/>
    <w:rsid w:val="00EE7754"/>
    <w:rsid w:val="00EF3C01"/>
    <w:rsid w:val="00EF3DE0"/>
    <w:rsid w:val="00EF51E0"/>
    <w:rsid w:val="00EF5C73"/>
    <w:rsid w:val="00EF72AA"/>
    <w:rsid w:val="00EF7551"/>
    <w:rsid w:val="00F0414C"/>
    <w:rsid w:val="00F049BF"/>
    <w:rsid w:val="00F04AB0"/>
    <w:rsid w:val="00F10F89"/>
    <w:rsid w:val="00F12849"/>
    <w:rsid w:val="00F15F34"/>
    <w:rsid w:val="00F17E50"/>
    <w:rsid w:val="00F227AF"/>
    <w:rsid w:val="00F30A78"/>
    <w:rsid w:val="00F30E31"/>
    <w:rsid w:val="00F31292"/>
    <w:rsid w:val="00F31378"/>
    <w:rsid w:val="00F36080"/>
    <w:rsid w:val="00F365EF"/>
    <w:rsid w:val="00F40868"/>
    <w:rsid w:val="00F4153D"/>
    <w:rsid w:val="00F41B88"/>
    <w:rsid w:val="00F47191"/>
    <w:rsid w:val="00F52A34"/>
    <w:rsid w:val="00F537D7"/>
    <w:rsid w:val="00F5550B"/>
    <w:rsid w:val="00F56BF4"/>
    <w:rsid w:val="00F618B7"/>
    <w:rsid w:val="00F62CE7"/>
    <w:rsid w:val="00F64546"/>
    <w:rsid w:val="00F66F80"/>
    <w:rsid w:val="00F67493"/>
    <w:rsid w:val="00F67D71"/>
    <w:rsid w:val="00F70D71"/>
    <w:rsid w:val="00F710CA"/>
    <w:rsid w:val="00F71A60"/>
    <w:rsid w:val="00F71CD9"/>
    <w:rsid w:val="00F720D3"/>
    <w:rsid w:val="00F7233C"/>
    <w:rsid w:val="00F75F4C"/>
    <w:rsid w:val="00F764D6"/>
    <w:rsid w:val="00F82AF9"/>
    <w:rsid w:val="00F84FD0"/>
    <w:rsid w:val="00F85256"/>
    <w:rsid w:val="00F90722"/>
    <w:rsid w:val="00F93E88"/>
    <w:rsid w:val="00F94FFA"/>
    <w:rsid w:val="00F957CB"/>
    <w:rsid w:val="00F95F6B"/>
    <w:rsid w:val="00FA11AB"/>
    <w:rsid w:val="00FA3C94"/>
    <w:rsid w:val="00FA5AB8"/>
    <w:rsid w:val="00FA6019"/>
    <w:rsid w:val="00FA68A7"/>
    <w:rsid w:val="00FA69B5"/>
    <w:rsid w:val="00FA6F6A"/>
    <w:rsid w:val="00FB7064"/>
    <w:rsid w:val="00FC21AD"/>
    <w:rsid w:val="00FC240A"/>
    <w:rsid w:val="00FC42A9"/>
    <w:rsid w:val="00FC45AB"/>
    <w:rsid w:val="00FC4D7E"/>
    <w:rsid w:val="00FC4D80"/>
    <w:rsid w:val="00FC78AC"/>
    <w:rsid w:val="00FD0095"/>
    <w:rsid w:val="00FD0C35"/>
    <w:rsid w:val="00FD15E1"/>
    <w:rsid w:val="00FD435E"/>
    <w:rsid w:val="00FD604D"/>
    <w:rsid w:val="00FE03E9"/>
    <w:rsid w:val="00FE1156"/>
    <w:rsid w:val="00FE129B"/>
    <w:rsid w:val="00FE2ECC"/>
    <w:rsid w:val="00FE4FD3"/>
    <w:rsid w:val="00FE7271"/>
    <w:rsid w:val="00FF0747"/>
    <w:rsid w:val="00FF51CE"/>
    <w:rsid w:val="00FF73FF"/>
    <w:rsid w:val="45E0595A"/>
    <w:rsid w:val="55CF66EA"/>
    <w:rsid w:val="698E4B8E"/>
    <w:rsid w:val="74117B2D"/>
    <w:rsid w:val="7B997471"/>
  </w:rsids>
  <m:mathPr>
    <m:mathFont m:val="Cambria Math"/>
    <m:brkBin m:val="before"/>
    <m:brkBinSub m:val="--"/>
    <m:smallFrac m:val="0"/>
    <m:dispDef/>
    <m:lMargin m:val="0"/>
    <m:rMargin m:val="0"/>
    <m:defJc m:val="centerGroup"/>
    <m:wrapRight m:val="1"/>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0"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0" w:semiHidden="0" w:name="Emphasis"/>
    <w:lsdException w:uiPriority="99" w:name="Document Map"/>
    <w:lsdException w:qFormat="1" w:unhideWhenUsed="0" w:uiPriority="0" w:semiHidden="0" w:name="Plain Text"/>
    <w:lsdException w:uiPriority="99" w:name="E-mail Signature"/>
    <w:lsdException w:qFormat="1"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0" w:semiHidden="0" w:name="Table Grid"/>
    <w:lsdException w:uiPriority="99"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paragraph" w:styleId="2">
    <w:name w:val="heading 1"/>
    <w:basedOn w:val="1"/>
    <w:next w:val="1"/>
    <w:link w:val="18"/>
    <w:qFormat/>
    <w:uiPriority w:val="9"/>
    <w:pPr>
      <w:widowControl/>
      <w:spacing w:before="100" w:beforeAutospacing="1" w:after="100" w:afterAutospacing="1"/>
      <w:jc w:val="left"/>
      <w:outlineLvl w:val="0"/>
    </w:pPr>
    <w:rPr>
      <w:rFonts w:ascii="宋体" w:hAnsi="宋体"/>
      <w:b/>
      <w:bCs/>
      <w:kern w:val="36"/>
      <w:sz w:val="48"/>
      <w:szCs w:val="48"/>
    </w:rPr>
  </w:style>
  <w:style w:type="paragraph" w:styleId="3">
    <w:name w:val="heading 2"/>
    <w:basedOn w:val="1"/>
    <w:next w:val="1"/>
    <w:link w:val="19"/>
    <w:qFormat/>
    <w:uiPriority w:val="9"/>
    <w:pPr>
      <w:widowControl/>
      <w:spacing w:before="100" w:beforeAutospacing="1" w:after="100" w:afterAutospacing="1"/>
      <w:jc w:val="left"/>
      <w:outlineLvl w:val="1"/>
    </w:pPr>
    <w:rPr>
      <w:rFonts w:ascii="宋体" w:hAnsi="宋体"/>
      <w:b/>
      <w:bCs/>
      <w:kern w:val="0"/>
      <w:sz w:val="36"/>
      <w:szCs w:val="36"/>
    </w:rPr>
  </w:style>
  <w:style w:type="character" w:default="1" w:styleId="14">
    <w:name w:val="Default Paragraph Font"/>
    <w:unhideWhenUsed/>
    <w:qFormat/>
    <w:uiPriority w:val="1"/>
  </w:style>
  <w:style w:type="table" w:default="1" w:styleId="12">
    <w:name w:val="Normal Table"/>
    <w:unhideWhenUsed/>
    <w:qFormat/>
    <w:uiPriority w:val="99"/>
    <w:tblPr>
      <w:tblCellMar>
        <w:top w:w="0" w:type="dxa"/>
        <w:left w:w="108" w:type="dxa"/>
        <w:bottom w:w="0" w:type="dxa"/>
        <w:right w:w="108" w:type="dxa"/>
      </w:tblCellMar>
    </w:tblPr>
  </w:style>
  <w:style w:type="paragraph" w:styleId="4">
    <w:name w:val="annotation text"/>
    <w:basedOn w:val="1"/>
    <w:link w:val="20"/>
    <w:unhideWhenUsed/>
    <w:qFormat/>
    <w:uiPriority w:val="0"/>
    <w:pPr>
      <w:jc w:val="left"/>
    </w:pPr>
  </w:style>
  <w:style w:type="paragraph" w:styleId="5">
    <w:name w:val="Body Text"/>
    <w:basedOn w:val="1"/>
    <w:link w:val="21"/>
    <w:qFormat/>
    <w:uiPriority w:val="0"/>
    <w:pPr>
      <w:widowControl/>
      <w:shd w:val="clear" w:color="auto" w:fill="FFFFFF"/>
      <w:spacing w:line="312" w:lineRule="exact"/>
      <w:ind w:hanging="400"/>
      <w:jc w:val="distribute"/>
    </w:pPr>
    <w:rPr>
      <w:rFonts w:ascii="宋体" w:hAnsi="宋体"/>
      <w:kern w:val="0"/>
      <w:sz w:val="19"/>
      <w:szCs w:val="19"/>
      <w:shd w:val="clear" w:color="auto" w:fill="FFFFFF"/>
    </w:rPr>
  </w:style>
  <w:style w:type="paragraph" w:styleId="6">
    <w:name w:val="Plain Text"/>
    <w:basedOn w:val="1"/>
    <w:link w:val="22"/>
    <w:qFormat/>
    <w:uiPriority w:val="0"/>
    <w:rPr>
      <w:rFonts w:ascii="宋体" w:hAnsi="Courier New"/>
      <w:kern w:val="0"/>
      <w:sz w:val="20"/>
      <w:szCs w:val="21"/>
    </w:rPr>
  </w:style>
  <w:style w:type="paragraph" w:styleId="7">
    <w:name w:val="Balloon Text"/>
    <w:basedOn w:val="1"/>
    <w:link w:val="23"/>
    <w:unhideWhenUsed/>
    <w:qFormat/>
    <w:uiPriority w:val="99"/>
    <w:rPr>
      <w:kern w:val="0"/>
      <w:sz w:val="18"/>
      <w:szCs w:val="18"/>
    </w:rPr>
  </w:style>
  <w:style w:type="paragraph" w:styleId="8">
    <w:name w:val="footer"/>
    <w:basedOn w:val="1"/>
    <w:link w:val="24"/>
    <w:unhideWhenUsed/>
    <w:qFormat/>
    <w:uiPriority w:val="99"/>
    <w:pPr>
      <w:tabs>
        <w:tab w:val="center" w:pos="4153"/>
        <w:tab w:val="right" w:pos="8306"/>
      </w:tabs>
      <w:snapToGrid w:val="0"/>
      <w:jc w:val="left"/>
    </w:pPr>
    <w:rPr>
      <w:kern w:val="0"/>
      <w:sz w:val="18"/>
      <w:szCs w:val="18"/>
    </w:rPr>
  </w:style>
  <w:style w:type="paragraph" w:styleId="9">
    <w:name w:val="header"/>
    <w:basedOn w:val="1"/>
    <w:link w:val="25"/>
    <w:unhideWhenUsed/>
    <w:qFormat/>
    <w:uiPriority w:val="99"/>
    <w:pPr>
      <w:pBdr>
        <w:bottom w:val="single" w:color="auto" w:sz="6" w:space="1"/>
      </w:pBdr>
      <w:tabs>
        <w:tab w:val="center" w:pos="4153"/>
        <w:tab w:val="right" w:pos="8306"/>
      </w:tabs>
      <w:snapToGrid w:val="0"/>
      <w:jc w:val="center"/>
    </w:pPr>
    <w:rPr>
      <w:kern w:val="0"/>
      <w:sz w:val="18"/>
      <w:szCs w:val="18"/>
    </w:rPr>
  </w:style>
  <w:style w:type="paragraph" w:styleId="10">
    <w:name w:val="Normal (Web)"/>
    <w:basedOn w:val="1"/>
    <w:link w:val="26"/>
    <w:unhideWhenUsed/>
    <w:qFormat/>
    <w:uiPriority w:val="0"/>
    <w:pPr>
      <w:widowControl/>
      <w:spacing w:before="100" w:beforeAutospacing="1" w:after="100" w:afterAutospacing="1"/>
      <w:jc w:val="left"/>
    </w:pPr>
    <w:rPr>
      <w:rFonts w:ascii="宋体" w:hAnsi="宋体"/>
      <w:kern w:val="0"/>
      <w:sz w:val="24"/>
      <w:szCs w:val="24"/>
    </w:rPr>
  </w:style>
  <w:style w:type="paragraph" w:styleId="11">
    <w:name w:val="annotation subject"/>
    <w:basedOn w:val="4"/>
    <w:next w:val="4"/>
    <w:link w:val="27"/>
    <w:unhideWhenUsed/>
    <w:qFormat/>
    <w:uiPriority w:val="99"/>
    <w:rPr>
      <w:b/>
      <w:bCs/>
      <w:kern w:val="0"/>
      <w:sz w:val="20"/>
      <w:szCs w:val="20"/>
    </w:rPr>
  </w:style>
  <w:style w:type="table" w:styleId="13">
    <w:name w:val="Table Grid"/>
    <w:basedOn w:val="1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5">
    <w:name w:val="Emphasis"/>
    <w:qFormat/>
    <w:uiPriority w:val="0"/>
    <w:rPr>
      <w:color w:val="CC0000"/>
    </w:rPr>
  </w:style>
  <w:style w:type="character" w:styleId="16">
    <w:name w:val="Hyperlink"/>
    <w:unhideWhenUsed/>
    <w:qFormat/>
    <w:uiPriority w:val="99"/>
    <w:rPr>
      <w:color w:val="0000FF"/>
      <w:u w:val="single"/>
    </w:rPr>
  </w:style>
  <w:style w:type="character" w:styleId="17">
    <w:name w:val="annotation reference"/>
    <w:unhideWhenUsed/>
    <w:qFormat/>
    <w:uiPriority w:val="99"/>
    <w:rPr>
      <w:sz w:val="21"/>
      <w:szCs w:val="21"/>
    </w:rPr>
  </w:style>
  <w:style w:type="character" w:customStyle="1" w:styleId="18">
    <w:name w:val="标题 1 Char"/>
    <w:link w:val="2"/>
    <w:qFormat/>
    <w:uiPriority w:val="9"/>
    <w:rPr>
      <w:rFonts w:ascii="宋体" w:hAnsi="宋体" w:cs="宋体"/>
      <w:b/>
      <w:bCs/>
      <w:kern w:val="36"/>
      <w:sz w:val="48"/>
      <w:szCs w:val="48"/>
    </w:rPr>
  </w:style>
  <w:style w:type="character" w:customStyle="1" w:styleId="19">
    <w:name w:val="标题 2 Char"/>
    <w:link w:val="3"/>
    <w:qFormat/>
    <w:uiPriority w:val="9"/>
    <w:rPr>
      <w:rFonts w:ascii="宋体" w:hAnsi="宋体" w:cs="宋体"/>
      <w:b/>
      <w:bCs/>
      <w:sz w:val="36"/>
      <w:szCs w:val="36"/>
    </w:rPr>
  </w:style>
  <w:style w:type="character" w:customStyle="1" w:styleId="20">
    <w:name w:val="批注文字 Char"/>
    <w:link w:val="4"/>
    <w:qFormat/>
    <w:uiPriority w:val="99"/>
  </w:style>
  <w:style w:type="character" w:customStyle="1" w:styleId="21">
    <w:name w:val="正文文本 Char"/>
    <w:link w:val="5"/>
    <w:qFormat/>
    <w:uiPriority w:val="0"/>
    <w:rPr>
      <w:rFonts w:ascii="宋体" w:hAnsi="宋体"/>
      <w:sz w:val="19"/>
      <w:szCs w:val="19"/>
      <w:shd w:val="clear" w:color="auto" w:fill="FFFFFF"/>
    </w:rPr>
  </w:style>
  <w:style w:type="character" w:customStyle="1" w:styleId="22">
    <w:name w:val="纯文本 Char"/>
    <w:link w:val="6"/>
    <w:qFormat/>
    <w:uiPriority w:val="0"/>
    <w:rPr>
      <w:rFonts w:ascii="宋体" w:hAnsi="Courier New" w:eastAsia="宋体" w:cs="Courier New"/>
      <w:szCs w:val="21"/>
    </w:rPr>
  </w:style>
  <w:style w:type="character" w:customStyle="1" w:styleId="23">
    <w:name w:val="批注框文本 Char"/>
    <w:link w:val="7"/>
    <w:semiHidden/>
    <w:qFormat/>
    <w:uiPriority w:val="99"/>
    <w:rPr>
      <w:sz w:val="18"/>
      <w:szCs w:val="18"/>
    </w:rPr>
  </w:style>
  <w:style w:type="character" w:customStyle="1" w:styleId="24">
    <w:name w:val="页脚 Char"/>
    <w:link w:val="8"/>
    <w:qFormat/>
    <w:uiPriority w:val="99"/>
    <w:rPr>
      <w:sz w:val="18"/>
      <w:szCs w:val="18"/>
    </w:rPr>
  </w:style>
  <w:style w:type="character" w:customStyle="1" w:styleId="25">
    <w:name w:val="页眉 Char"/>
    <w:link w:val="9"/>
    <w:qFormat/>
    <w:uiPriority w:val="99"/>
    <w:rPr>
      <w:sz w:val="18"/>
      <w:szCs w:val="18"/>
    </w:rPr>
  </w:style>
  <w:style w:type="character" w:customStyle="1" w:styleId="26">
    <w:name w:val="普通(网站) Char"/>
    <w:link w:val="10"/>
    <w:qFormat/>
    <w:uiPriority w:val="0"/>
    <w:rPr>
      <w:rFonts w:ascii="宋体" w:hAnsi="宋体" w:cs="宋体"/>
      <w:sz w:val="24"/>
      <w:szCs w:val="24"/>
    </w:rPr>
  </w:style>
  <w:style w:type="character" w:customStyle="1" w:styleId="27">
    <w:name w:val="批注主题 Char"/>
    <w:link w:val="11"/>
    <w:semiHidden/>
    <w:qFormat/>
    <w:uiPriority w:val="99"/>
    <w:rPr>
      <w:b/>
      <w:bCs/>
    </w:rPr>
  </w:style>
  <w:style w:type="paragraph" w:customStyle="1" w:styleId="28">
    <w:name w:val="正文_0"/>
    <w:link w:val="29"/>
    <w:qFormat/>
    <w:uiPriority w:val="0"/>
    <w:pPr>
      <w:widowControl w:val="0"/>
      <w:jc w:val="both"/>
    </w:pPr>
    <w:rPr>
      <w:rFonts w:ascii="Calibri" w:hAnsi="Calibri" w:eastAsia="宋体" w:cs="Times New Roman"/>
      <w:szCs w:val="24"/>
      <w:lang w:val="en-US" w:eastAsia="zh-CN" w:bidi="ar-SA"/>
    </w:rPr>
  </w:style>
  <w:style w:type="character" w:customStyle="1" w:styleId="29">
    <w:name w:val="正文_0 Char"/>
    <w:link w:val="28"/>
    <w:qFormat/>
    <w:uiPriority w:val="0"/>
    <w:rPr>
      <w:szCs w:val="24"/>
      <w:lang w:bidi="ar-SA"/>
    </w:rPr>
  </w:style>
  <w:style w:type="paragraph" w:customStyle="1" w:styleId="30">
    <w:name w:val="Char Char Char Char Char Char Char Char Char Char Char Char Char Char Char Char Char Char Char"/>
    <w:basedOn w:val="1"/>
    <w:qFormat/>
    <w:uiPriority w:val="0"/>
    <w:pPr>
      <w:widowControl/>
      <w:spacing w:line="300" w:lineRule="auto"/>
      <w:ind w:firstLine="200" w:firstLineChars="200"/>
    </w:pPr>
    <w:rPr>
      <w:rFonts w:ascii="Verdana" w:hAnsi="Verdana" w:eastAsia="宋体" w:cs="Times New Roman"/>
      <w:kern w:val="0"/>
      <w:szCs w:val="20"/>
      <w:lang w:eastAsia="en-US"/>
    </w:rPr>
  </w:style>
  <w:style w:type="character" w:customStyle="1" w:styleId="31">
    <w:name w:val="apple-converted-space"/>
    <w:qFormat/>
    <w:uiPriority w:val="0"/>
  </w:style>
  <w:style w:type="paragraph" w:customStyle="1" w:styleId="32">
    <w:name w:val="普通(网站)_0"/>
    <w:basedOn w:val="28"/>
    <w:link w:val="33"/>
    <w:qFormat/>
    <w:uiPriority w:val="0"/>
    <w:pPr>
      <w:widowControl/>
      <w:spacing w:before="100" w:beforeAutospacing="1" w:after="100" w:afterAutospacing="1"/>
      <w:jc w:val="left"/>
    </w:pPr>
    <w:rPr>
      <w:rFonts w:ascii="宋体" w:hAnsi="宋体"/>
      <w:sz w:val="24"/>
    </w:rPr>
  </w:style>
  <w:style w:type="character" w:customStyle="1" w:styleId="33">
    <w:name w:val="普通 (Web)1 Char1"/>
    <w:link w:val="32"/>
    <w:qFormat/>
    <w:uiPriority w:val="0"/>
    <w:rPr>
      <w:rFonts w:ascii="宋体" w:hAnsi="宋体" w:eastAsia="宋体" w:cs="宋体"/>
      <w:kern w:val="0"/>
      <w:sz w:val="24"/>
      <w:szCs w:val="24"/>
    </w:rPr>
  </w:style>
  <w:style w:type="paragraph" w:styleId="34">
    <w:name w:val="List Paragraph"/>
    <w:basedOn w:val="1"/>
    <w:link w:val="35"/>
    <w:qFormat/>
    <w:uiPriority w:val="0"/>
    <w:pPr>
      <w:ind w:firstLine="420" w:firstLineChars="200"/>
    </w:pPr>
    <w:rPr>
      <w:kern w:val="0"/>
      <w:sz w:val="20"/>
      <w:szCs w:val="20"/>
    </w:rPr>
  </w:style>
  <w:style w:type="character" w:customStyle="1" w:styleId="35">
    <w:name w:val="列出段落 Char"/>
    <w:link w:val="34"/>
    <w:qFormat/>
    <w:uiPriority w:val="0"/>
    <w:rPr>
      <w:rFonts w:ascii="Calibri" w:hAnsi="Calibri" w:eastAsia="宋体" w:cs="Times New Roman"/>
    </w:rPr>
  </w:style>
  <w:style w:type="character" w:customStyle="1" w:styleId="36">
    <w:name w:val="纯文本 Char2"/>
    <w:qFormat/>
    <w:uiPriority w:val="0"/>
    <w:rPr>
      <w:rFonts w:ascii="宋体" w:hAnsi="Courier New" w:eastAsia="宋体" w:cs="Courier New"/>
      <w:kern w:val="2"/>
      <w:sz w:val="21"/>
      <w:szCs w:val="21"/>
      <w:lang w:val="en-US" w:eastAsia="zh-CN" w:bidi="ar-SA"/>
    </w:rPr>
  </w:style>
  <w:style w:type="paragraph" w:customStyle="1" w:styleId="37">
    <w:name w:val="纯文本_0"/>
    <w:basedOn w:val="1"/>
    <w:link w:val="38"/>
    <w:qFormat/>
    <w:uiPriority w:val="0"/>
    <w:rPr>
      <w:rFonts w:ascii="宋体" w:hAnsi="Courier New"/>
      <w:kern w:val="0"/>
      <w:sz w:val="20"/>
      <w:szCs w:val="21"/>
    </w:rPr>
  </w:style>
  <w:style w:type="character" w:customStyle="1" w:styleId="38">
    <w:name w:val="纯文本 Char2 Char"/>
    <w:link w:val="37"/>
    <w:qFormat/>
    <w:uiPriority w:val="0"/>
    <w:rPr>
      <w:rFonts w:ascii="宋体" w:hAnsi="Courier New" w:eastAsia="宋体" w:cs="Courier New"/>
      <w:kern w:val="0"/>
      <w:sz w:val="20"/>
      <w:szCs w:val="21"/>
    </w:rPr>
  </w:style>
  <w:style w:type="paragraph" w:customStyle="1" w:styleId="39">
    <w:name w:val="正文 New New New New New New New New New"/>
    <w:qFormat/>
    <w:uiPriority w:val="0"/>
    <w:pPr>
      <w:widowControl w:val="0"/>
      <w:jc w:val="both"/>
    </w:pPr>
    <w:rPr>
      <w:rFonts w:ascii="Calibri" w:hAnsi="Calibri" w:eastAsia="宋体" w:cs="Times New Roman"/>
      <w:kern w:val="2"/>
      <w:sz w:val="21"/>
      <w:szCs w:val="24"/>
      <w:lang w:val="en-US" w:eastAsia="zh-CN" w:bidi="ar-SA"/>
    </w:rPr>
  </w:style>
  <w:style w:type="paragraph" w:customStyle="1" w:styleId="40">
    <w:name w:val="正文 New New New New New New New New New New New New New New New New New New New New New New New New New New New"/>
    <w:qFormat/>
    <w:uiPriority w:val="0"/>
    <w:pPr>
      <w:widowControl w:val="0"/>
      <w:jc w:val="both"/>
    </w:pPr>
    <w:rPr>
      <w:rFonts w:ascii="Calibri" w:hAnsi="Calibri" w:eastAsia="宋体" w:cs="Times New Roman"/>
      <w:kern w:val="2"/>
      <w:sz w:val="21"/>
      <w:szCs w:val="24"/>
      <w:lang w:val="en-US" w:eastAsia="zh-CN" w:bidi="ar-SA"/>
    </w:rPr>
  </w:style>
  <w:style w:type="paragraph" w:customStyle="1" w:styleId="41">
    <w:name w:val="正文 New New New New New New New New New New New New New New New"/>
    <w:qFormat/>
    <w:uiPriority w:val="0"/>
    <w:pPr>
      <w:widowControl w:val="0"/>
      <w:jc w:val="both"/>
    </w:pPr>
    <w:rPr>
      <w:rFonts w:ascii="Calibri" w:hAnsi="Calibri" w:eastAsia="宋体" w:cs="Times New Roman"/>
      <w:kern w:val="2"/>
      <w:sz w:val="21"/>
      <w:lang w:val="en-US" w:eastAsia="zh-CN" w:bidi="ar-SA"/>
    </w:rPr>
  </w:style>
  <w:style w:type="paragraph" w:customStyle="1" w:styleId="42">
    <w:name w:val="正文_0_0"/>
    <w:qFormat/>
    <w:uiPriority w:val="0"/>
    <w:pPr>
      <w:widowControl w:val="0"/>
      <w:jc w:val="both"/>
    </w:pPr>
    <w:rPr>
      <w:rFonts w:ascii="Calibri" w:hAnsi="Calibri" w:eastAsia="宋体" w:cs="Times New Roman"/>
      <w:kern w:val="2"/>
      <w:sz w:val="21"/>
      <w:lang w:val="en-US" w:eastAsia="zh-CN" w:bidi="ar-SA"/>
    </w:rPr>
  </w:style>
  <w:style w:type="paragraph" w:customStyle="1" w:styleId="43">
    <w:name w:val="MTDisplayEquation"/>
    <w:basedOn w:val="1"/>
    <w:next w:val="1"/>
    <w:link w:val="44"/>
    <w:qFormat/>
    <w:uiPriority w:val="0"/>
    <w:pPr>
      <w:tabs>
        <w:tab w:val="center" w:pos="5040"/>
        <w:tab w:val="right" w:pos="9640"/>
      </w:tabs>
      <w:spacing w:line="288" w:lineRule="auto"/>
      <w:ind w:left="420" w:hanging="420" w:hangingChars="200"/>
      <w:jc w:val="left"/>
    </w:pPr>
    <w:rPr>
      <w:rFonts w:ascii="Times New Roman" w:hAnsi="Times New Roman"/>
      <w:szCs w:val="21"/>
    </w:rPr>
  </w:style>
  <w:style w:type="character" w:customStyle="1" w:styleId="44">
    <w:name w:val="MTDisplayEquation Char"/>
    <w:link w:val="43"/>
    <w:qFormat/>
    <w:uiPriority w:val="0"/>
    <w:rPr>
      <w:rFonts w:ascii="Times New Roman" w:hAnsi="Times New Roman"/>
      <w:kern w:val="2"/>
      <w:sz w:val="21"/>
      <w:szCs w:val="21"/>
    </w:rPr>
  </w:style>
  <w:style w:type="paragraph" w:customStyle="1" w:styleId="45">
    <w:name w:val="DefaultParagraph"/>
    <w:link w:val="46"/>
    <w:qFormat/>
    <w:uiPriority w:val="0"/>
    <w:rPr>
      <w:rFonts w:ascii="Calibri" w:hAnsi="Calibri" w:eastAsia="宋体" w:cs="Times New Roman"/>
      <w:kern w:val="2"/>
      <w:sz w:val="21"/>
      <w:szCs w:val="22"/>
      <w:lang w:val="en-US" w:eastAsia="zh-CN" w:bidi="ar-SA"/>
    </w:rPr>
  </w:style>
  <w:style w:type="character" w:customStyle="1" w:styleId="46">
    <w:name w:val="DefaultParagraph Char"/>
    <w:link w:val="45"/>
    <w:qFormat/>
    <w:locked/>
    <w:uiPriority w:val="0"/>
    <w:rPr>
      <w:kern w:val="2"/>
      <w:sz w:val="21"/>
      <w:szCs w:val="22"/>
      <w:lang w:bidi="ar-SA"/>
    </w:rPr>
  </w:style>
  <w:style w:type="paragraph" w:customStyle="1" w:styleId="47">
    <w:name w:val="正文1"/>
    <w:qFormat/>
    <w:uiPriority w:val="0"/>
    <w:pPr>
      <w:jc w:val="both"/>
    </w:pPr>
    <w:rPr>
      <w:rFonts w:ascii="Times New Roman" w:hAnsi="Times New Roman" w:eastAsia="宋体" w:cs="Times New Roman"/>
      <w:kern w:val="2"/>
      <w:sz w:val="21"/>
      <w:szCs w:val="21"/>
      <w:lang w:val="en-US" w:eastAsia="zh-CN" w:bidi="ar-SA"/>
    </w:rPr>
  </w:style>
  <w:style w:type="character" w:customStyle="1" w:styleId="48">
    <w:name w:val="正文文本 Char1"/>
    <w:semiHidden/>
    <w:qFormat/>
    <w:uiPriority w:val="99"/>
    <w:rPr>
      <w:kern w:val="2"/>
      <w:sz w:val="21"/>
      <w:szCs w:val="22"/>
    </w:rPr>
  </w:style>
  <w:style w:type="paragraph" w:styleId="49">
    <w:name w:val="No Spacing"/>
    <w:qFormat/>
    <w:uiPriority w:val="1"/>
    <w:pPr>
      <w:widowControl w:val="0"/>
      <w:jc w:val="both"/>
    </w:pPr>
    <w:rPr>
      <w:rFonts w:ascii="Times New Roman" w:hAnsi="Times New Roman" w:eastAsia="宋体" w:cs="Times New Roman"/>
      <w:kern w:val="2"/>
      <w:sz w:val="21"/>
      <w:lang w:val="en-US" w:eastAsia="zh-CN" w:bidi="ar-SA"/>
    </w:rPr>
  </w:style>
  <w:style w:type="character" w:customStyle="1" w:styleId="50">
    <w:name w:val="批注文字 Char1"/>
    <w:semiHidden/>
    <w:qFormat/>
    <w:locked/>
    <w:uiPriority w:val="0"/>
    <w:rPr>
      <w:rFonts w:eastAsia="宋体"/>
      <w:kern w:val="2"/>
      <w:sz w:val="21"/>
      <w:szCs w:val="24"/>
      <w:lang w:val="en-US" w:eastAsia="zh-CN" w:bidi="ar-SA"/>
    </w:rPr>
  </w:style>
  <w:style w:type="character" w:customStyle="1" w:styleId="51">
    <w:name w:val="DefaultParagraph Char Char"/>
    <w:qFormat/>
    <w:uiPriority w:val="0"/>
    <w:rPr>
      <w:rFonts w:ascii="Times New Roman"/>
      <w:kern w:val="2"/>
      <w:sz w:val="21"/>
      <w:szCs w:val="22"/>
    </w:rPr>
  </w:style>
  <w:style w:type="character" w:styleId="52">
    <w:name w:val="Placeholder Text"/>
    <w:semiHidden/>
    <w:qFormat/>
    <w:uiPriority w:val="99"/>
    <w:rPr>
      <w:color w:val="808080"/>
    </w:rPr>
  </w:style>
  <w:style w:type="paragraph" w:customStyle="1" w:styleId="53">
    <w:name w:val="试卷-单选题-试题-题目"/>
    <w:basedOn w:val="1"/>
    <w:qFormat/>
    <w:uiPriority w:val="0"/>
    <w:pPr>
      <w:spacing w:line="360" w:lineRule="auto"/>
      <w:jc w:val="left"/>
    </w:pPr>
  </w:style>
  <w:style w:type="paragraph" w:customStyle="1" w:styleId="54">
    <w:name w:val="试卷-单选题-试题-答案"/>
    <w:basedOn w:val="1"/>
    <w:qFormat/>
    <w:uiPriority w:val="0"/>
    <w:pPr>
      <w:spacing w:line="360" w:lineRule="auto"/>
    </w:pPr>
  </w:style>
  <w:style w:type="paragraph" w:customStyle="1" w:styleId="55">
    <w:name w:val="试卷-题型-标题"/>
    <w:basedOn w:val="1"/>
    <w:qFormat/>
    <w:uiPriority w:val="0"/>
    <w:pPr>
      <w:spacing w:line="360" w:lineRule="auto"/>
    </w:pPr>
    <w:rPr>
      <w:rFonts w:hAnsi="黑体" w:eastAsia="黑体"/>
      <w:b/>
      <w:szCs w:val="21"/>
    </w:rPr>
  </w:style>
  <w:style w:type="paragraph" w:customStyle="1" w:styleId="56">
    <w:name w:val="试卷-材料题-试题-标题"/>
    <w:basedOn w:val="1"/>
    <w:qFormat/>
    <w:uiPriority w:val="0"/>
    <w:pPr>
      <w:spacing w:line="360" w:lineRule="auto"/>
      <w:jc w:val="left"/>
    </w:pPr>
  </w:style>
  <w:style w:type="paragraph" w:customStyle="1" w:styleId="57">
    <w:name w:val="试卷-材料题-试题-材料-标题"/>
    <w:basedOn w:val="1"/>
    <w:qFormat/>
    <w:uiPriority w:val="0"/>
    <w:pPr>
      <w:spacing w:line="360" w:lineRule="auto"/>
    </w:pPr>
    <w:rPr>
      <w:rFonts w:ascii="黑体" w:hAnsi="黑体" w:eastAsia="黑体"/>
    </w:rPr>
  </w:style>
  <w:style w:type="paragraph" w:customStyle="1" w:styleId="58">
    <w:name w:val="试卷-材料题-试题-材料-正文-首行不缩进"/>
    <w:basedOn w:val="59"/>
    <w:qFormat/>
    <w:uiPriority w:val="0"/>
    <w:pPr>
      <w:ind w:firstLine="0" w:firstLineChars="0"/>
    </w:pPr>
  </w:style>
  <w:style w:type="paragraph" w:customStyle="1" w:styleId="59">
    <w:name w:val="试卷-材料题-试题-材料-正文"/>
    <w:basedOn w:val="1"/>
    <w:qFormat/>
    <w:uiPriority w:val="0"/>
    <w:pPr>
      <w:spacing w:line="360" w:lineRule="auto"/>
      <w:ind w:firstLine="420" w:firstLineChars="200"/>
    </w:pPr>
    <w:rPr>
      <w:rFonts w:eastAsia="楷体_GB2312"/>
    </w:rPr>
  </w:style>
  <w:style w:type="paragraph" w:customStyle="1" w:styleId="60">
    <w:name w:val="试卷-材料题-试题-材料-引自"/>
    <w:basedOn w:val="1"/>
    <w:qFormat/>
    <w:uiPriority w:val="0"/>
    <w:pPr>
      <w:spacing w:line="360" w:lineRule="auto"/>
      <w:ind w:left="420" w:leftChars="200"/>
      <w:jc w:val="right"/>
    </w:pPr>
    <w:rPr>
      <w:rFonts w:eastAsia="楷体_GB2312"/>
    </w:rPr>
  </w:style>
  <w:style w:type="paragraph" w:customStyle="1" w:styleId="61">
    <w:name w:val="试卷-材料题-试题-题目"/>
    <w:basedOn w:val="1"/>
    <w:qFormat/>
    <w:uiPriority w:val="0"/>
    <w:pPr>
      <w:spacing w:line="360" w:lineRule="auto"/>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1.xml"/><Relationship Id="rId10" Type="http://schemas.openxmlformats.org/officeDocument/2006/relationships/image" Target="media/image6.png"/><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2" Type="http://schemas.openxmlformats.org/officeDocument/2006/relationships/image" Target="file:///D:\qq&#25991;&#20214;\712321467\Image\C2C\Image2\%2525257B75232B38-A165-1FB7-499C-2E1C792CACB5%2525257D.png" TargetMode="External"/><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file:///D:\qq&#25991;&#20214;\712321467\Image\C2C\Image2\%2525257B75232B38-A165-1FB7-499C-2E1C792CACB5%2525257D.png" TargetMode="External"/><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HXJP\hxjp.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2051"/>
    <customShpInfo spid="_x0000_s2054"/>
    <customShpInfo spid="_x0000_s2055"/>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hxjp.dot</Template>
  <Company>Microsoft</Company>
  <Pages>8</Pages>
  <Words>3749</Words>
  <Characters>3984</Characters>
  <Lines>50</Lines>
  <Paragraphs>14</Paragraphs>
  <TotalTime>2</TotalTime>
  <ScaleCrop>false</ScaleCrop>
  <LinksUpToDate>false</LinksUpToDate>
  <CharactersWithSpaces>4517</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2018-04-24T09:10:00Z</dcterms:created>
  <dc:creator>张奉国</dc:creator>
  <cp:lastModifiedBy>独秀山</cp:lastModifiedBy>
  <cp:lastPrinted>2017-04-20T05:31:00Z</cp:lastPrinted>
  <dcterms:modified xsi:type="dcterms:W3CDTF">2025-04-24T09:29:51Z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ProductBuildVer">
    <vt:lpwstr>2052-12.1.0.20784</vt:lpwstr>
  </property>
  <property fmtid="{D5CDD505-2E9C-101B-9397-08002B2CF9AE}" pid="7" name="ICV">
    <vt:lpwstr>98AC89E9FCF441BFAC353143462F993A</vt:lpwstr>
  </property>
  <property fmtid="{D5CDD505-2E9C-101B-9397-08002B2CF9AE}" pid="8" name="KSOTemplateDocerSaveRecord">
    <vt:lpwstr>eyJoZGlkIjoiZWZiNmNkMTdjMGEwMTkxM2MzNzRlMDgyMWY5MzA4ZGIiLCJ1c2VySWQiOiIxMjY2NDk1MTc2In0=</vt:lpwstr>
  </property>
</Properties>
</file>