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38B49E87">
      <w:pPr>
        <w:widowControl/>
        <w:spacing w:before="0" w:after="0" w:line="360" w:lineRule="auto"/>
        <w:ind w:left="315" w:firstLine="0"/>
        <w:jc w:val="center"/>
        <w:rPr>
          <w:rFonts w:ascii="Times New Roman" w:eastAsia="黑体" w:hAnsi="Times New Roman" w:cs="Times New Roman" w:hint="default"/>
          <w:sz w:val="32"/>
          <w:szCs w:val="32"/>
        </w:rPr>
      </w:pPr>
      <w:r>
        <w:rPr>
          <w:rFonts w:ascii="Times New Roman" w:hAnsi="Times New Roman" w:cs="Times New Roman" w:hint="default"/>
          <w:b/>
          <w:sz w:val="32"/>
          <w:szCs w:val="32"/>
        </w:rPr>
        <w:drawing>
          <wp:anchor simplePos="0" relativeHeight="251658240" behindDoc="0" locked="0" layoutInCell="1" allowOverlap="1">
            <wp:simplePos x="0" y="0"/>
            <wp:positionH relativeFrom="page">
              <wp:posOffset>12661900</wp:posOffset>
            </wp:positionH>
            <wp:positionV relativeFrom="topMargin">
              <wp:posOffset>11976100</wp:posOffset>
            </wp:positionV>
            <wp:extent cx="495300" cy="317500"/>
            <wp:wrapNone/>
            <wp:docPr id="1000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
                    <pic:cNvPicPr>
                      <a:picLocks noChangeAspect="1"/>
                    </pic:cNvPicPr>
                  </pic:nvPicPr>
                  <pic:blipFill>
                    <a:blip xmlns:r="http://schemas.openxmlformats.org/officeDocument/2006/relationships" r:embed="rId5"/>
                    <a:stretch>
                      <a:fillRect/>
                    </a:stretch>
                  </pic:blipFill>
                  <pic:spPr>
                    <a:xfrm>
                      <a:off x="0" y="0"/>
                      <a:ext cx="495300" cy="317500"/>
                    </a:xfrm>
                    <a:prstGeom prst="rect">
                      <a:avLst/>
                    </a:prstGeom>
                  </pic:spPr>
                </pic:pic>
              </a:graphicData>
            </a:graphic>
          </wp:anchor>
        </w:drawing>
      </w:r>
      <w:r>
        <w:rPr>
          <w:rFonts w:ascii="Times New Roman" w:hAnsi="Times New Roman" w:cs="Times New Roman" w:hint="default"/>
          <w:b/>
          <w:sz w:val="32"/>
          <w:szCs w:val="32"/>
        </w:rPr>
        <w:drawing>
          <wp:anchor distT="0" distB="0" distL="114300" distR="114300" simplePos="0" relativeHeight="251659264" behindDoc="0" locked="0" layoutInCell="1" allowOverlap="1">
            <wp:simplePos x="0" y="0"/>
            <wp:positionH relativeFrom="page">
              <wp:posOffset>11379200</wp:posOffset>
            </wp:positionH>
            <wp:positionV relativeFrom="topMargin">
              <wp:posOffset>11811000</wp:posOffset>
            </wp:positionV>
            <wp:extent cx="279400" cy="330200"/>
            <wp:effectExtent l="0" t="0" r="6350" b="12700"/>
            <wp:wrapNone/>
            <wp:docPr id="100013" name="图片 100013"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
                    <pic:cNvPicPr>
                      <a:picLocks noChangeAspect="1"/>
                    </pic:cNvPicPr>
                  </pic:nvPicPr>
                  <pic:blipFill>
                    <a:blip xmlns:r="http://schemas.openxmlformats.org/officeDocument/2006/relationships" r:embed="rId6"/>
                    <a:stretch>
                      <a:fillRect/>
                    </a:stretch>
                  </pic:blipFill>
                  <pic:spPr>
                    <a:xfrm>
                      <a:off x="0" y="0"/>
                      <a:ext cx="279400" cy="330200"/>
                    </a:xfrm>
                    <a:prstGeom prst="rect">
                      <a:avLst/>
                    </a:prstGeom>
                  </pic:spPr>
                </pic:pic>
              </a:graphicData>
            </a:graphic>
          </wp:anchor>
        </w:drawing>
      </w:r>
      <w:r>
        <w:rPr>
          <w:rFonts w:ascii="Times New Roman" w:hAnsi="Times New Roman" w:cs="Times New Roman" w:hint="default"/>
          <w:b/>
          <w:sz w:val="32"/>
          <w:szCs w:val="32"/>
        </w:rPr>
        <w:t>202</w:t>
      </w:r>
      <w:r>
        <w:rPr>
          <w:rFonts w:ascii="Times New Roman" w:hAnsi="Times New Roman" w:cs="Times New Roman" w:hint="default"/>
          <w:b/>
          <w:sz w:val="32"/>
          <w:szCs w:val="32"/>
          <w:lang w:val="en-US" w:eastAsia="zh-CN"/>
        </w:rPr>
        <w:t>5</w:t>
      </w:r>
      <w:r>
        <w:rPr>
          <w:rFonts w:ascii="Times New Roman" w:hAnsi="Times New Roman" w:cs="Times New Roman" w:hint="default"/>
          <w:b/>
          <w:sz w:val="32"/>
          <w:szCs w:val="32"/>
        </w:rPr>
        <w:t>年高考押题</w:t>
      </w:r>
      <w:r>
        <w:rPr>
          <w:rFonts w:ascii="Times New Roman" w:hAnsi="Times New Roman" w:cs="Times New Roman" w:hint="default"/>
          <w:b/>
          <w:sz w:val="32"/>
          <w:szCs w:val="32"/>
          <w:lang w:val="en-US" w:eastAsia="zh-CN"/>
        </w:rPr>
        <w:t>预测</w:t>
      </w:r>
      <w:r>
        <w:rPr>
          <w:rFonts w:ascii="Times New Roman" w:hAnsi="Times New Roman" w:cs="Times New Roman" w:hint="default"/>
          <w:b/>
          <w:sz w:val="32"/>
          <w:szCs w:val="32"/>
        </w:rPr>
        <w:t>卷（</w:t>
      </w:r>
      <w:r>
        <w:rPr>
          <w:rFonts w:cs="Times New Roman" w:hint="eastAsia"/>
          <w:b/>
          <w:sz w:val="32"/>
          <w:szCs w:val="32"/>
          <w:lang w:val="en-US" w:eastAsia="zh-CN"/>
        </w:rPr>
        <w:t>浙江</w:t>
      </w:r>
      <w:r>
        <w:rPr>
          <w:rFonts w:ascii="Times New Roman" w:hAnsi="Times New Roman" w:cs="Times New Roman" w:hint="default"/>
          <w:b/>
          <w:sz w:val="32"/>
          <w:szCs w:val="32"/>
        </w:rPr>
        <w:t>卷</w:t>
      </w:r>
      <w:r>
        <w:rPr>
          <w:rFonts w:cs="Times New Roman" w:hint="eastAsia"/>
          <w:b/>
          <w:sz w:val="32"/>
          <w:szCs w:val="32"/>
          <w:lang w:val="en-US" w:eastAsia="zh-CN"/>
        </w:rPr>
        <w:t>02</w:t>
      </w:r>
      <w:r>
        <w:rPr>
          <w:rFonts w:ascii="Times New Roman" w:hAnsi="Times New Roman" w:cs="Times New Roman" w:hint="default"/>
          <w:b/>
          <w:sz w:val="32"/>
          <w:szCs w:val="32"/>
        </w:rPr>
        <w:t>）</w:t>
      </w:r>
    </w:p>
    <w:p w14:paraId="19426E5A">
      <w:pPr>
        <w:widowControl/>
        <w:spacing w:before="0" w:after="0" w:line="360" w:lineRule="auto"/>
        <w:ind w:left="315" w:firstLine="0"/>
        <w:jc w:val="center"/>
        <w:rPr>
          <w:rFonts w:ascii="Times New Roman" w:eastAsia="黑体" w:hAnsi="Times New Roman" w:cs="Times New Roman" w:hint="default"/>
          <w:color w:val="000000"/>
          <w:sz w:val="44"/>
          <w:szCs w:val="44"/>
        </w:rPr>
      </w:pPr>
      <w:r>
        <w:rPr>
          <w:rFonts w:ascii="Times New Roman" w:eastAsia="黑体" w:hAnsi="Times New Roman" w:cs="Times New Roman" w:hint="default"/>
          <w:color w:val="000000"/>
          <w:sz w:val="44"/>
          <w:szCs w:val="44"/>
        </w:rPr>
        <w:t>政治</w:t>
      </w:r>
    </w:p>
    <w:p w14:paraId="6B383373">
      <w:pPr>
        <w:adjustRightInd w:val="0"/>
        <w:spacing w:before="0" w:after="0" w:line="360" w:lineRule="auto"/>
        <w:ind w:left="315" w:firstLine="0"/>
        <w:jc w:val="center"/>
        <w:textAlignment w:val="center"/>
        <w:rPr>
          <w:rFonts w:ascii="Times New Roman" w:eastAsia="楷体" w:hAnsi="Times New Roman" w:cs="Times New Roman" w:hint="default"/>
          <w:kern w:val="0"/>
        </w:rPr>
      </w:pPr>
      <w:r>
        <w:rPr>
          <w:rFonts w:ascii="Times New Roman" w:eastAsia="楷体" w:hAnsi="Times New Roman" w:cs="Times New Roman" w:hint="default"/>
          <w:kern w:val="0"/>
        </w:rPr>
        <w:t>（考试时间：</w:t>
      </w:r>
      <w:r>
        <w:rPr>
          <w:rFonts w:eastAsia="楷体" w:cs="Times New Roman" w:hint="eastAsia"/>
          <w:kern w:val="0"/>
          <w:lang w:val="en-US" w:eastAsia="zh-CN"/>
        </w:rPr>
        <w:t>90</w:t>
      </w:r>
      <w:r>
        <w:rPr>
          <w:rFonts w:ascii="Times New Roman" w:eastAsia="楷体" w:hAnsi="Times New Roman" w:cs="Times New Roman" w:hint="default"/>
          <w:kern w:val="0"/>
        </w:rPr>
        <w:t>分钟  试卷满分：</w:t>
      </w:r>
      <w:r>
        <w:rPr>
          <w:rFonts w:ascii="Times New Roman" w:eastAsia="楷体" w:hAnsi="Times New Roman" w:cs="Times New Roman" w:hint="default"/>
          <w:kern w:val="0"/>
          <w:lang w:val="en-US" w:eastAsia="zh-CN"/>
        </w:rPr>
        <w:t>100</w:t>
      </w:r>
      <w:r>
        <w:rPr>
          <w:rFonts w:ascii="Times New Roman" w:eastAsia="楷体" w:hAnsi="Times New Roman" w:cs="Times New Roman" w:hint="default"/>
          <w:kern w:val="0"/>
        </w:rPr>
        <w:t>分）</w:t>
      </w:r>
    </w:p>
    <w:p w14:paraId="6D053640">
      <w:pPr>
        <w:overflowPunct w:val="0"/>
        <w:adjustRightInd w:val="0"/>
        <w:spacing w:before="0" w:after="0" w:line="360" w:lineRule="auto"/>
        <w:ind w:left="420" w:hanging="420" w:hangingChars="200"/>
        <w:textAlignment w:val="center"/>
        <w:rPr>
          <w:rFonts w:ascii="Times New Roman" w:eastAsia="黑体" w:hAnsi="Times New Roman" w:cs="Times New Roman" w:hint="default"/>
          <w:b/>
          <w:spacing w:val="2"/>
          <w:kern w:val="0"/>
          <w:szCs w:val="21"/>
        </w:rPr>
      </w:pPr>
      <w:r>
        <w:rPr>
          <w:rFonts w:ascii="Times New Roman" w:eastAsia="黑体" w:hAnsi="Times New Roman" w:cs="Times New Roman" w:hint="default"/>
          <w:b/>
          <w:spacing w:val="2"/>
          <w:kern w:val="0"/>
          <w:szCs w:val="21"/>
        </w:rPr>
        <w:t>注意事项：</w:t>
      </w:r>
    </w:p>
    <w:p w14:paraId="7E65E298">
      <w:pPr>
        <w:overflowPunct w:val="0"/>
        <w:adjustRightInd w:val="0"/>
        <w:spacing w:before="0" w:after="0" w:line="360" w:lineRule="auto"/>
        <w:ind w:left="735" w:hanging="315" w:leftChars="200"/>
        <w:textAlignment w:val="center"/>
        <w:rPr>
          <w:rFonts w:ascii="Times New Roman" w:eastAsia="黑体" w:hAnsi="Times New Roman" w:cs="Times New Roman" w:hint="default"/>
          <w:spacing w:val="2"/>
          <w:kern w:val="0"/>
          <w:szCs w:val="21"/>
        </w:rPr>
      </w:pPr>
      <w:r>
        <w:rPr>
          <w:rFonts w:ascii="Times New Roman" w:eastAsia="黑体" w:hAnsi="Times New Roman" w:cs="Times New Roman" w:hint="default"/>
          <w:spacing w:val="2"/>
          <w:kern w:val="0"/>
          <w:szCs w:val="21"/>
        </w:rPr>
        <w:t>1．答卷前，考生务必将自己的姓名、准考证号等填写在答题卡和试卷指定位置上。</w:t>
      </w:r>
    </w:p>
    <w:p w14:paraId="5BF14C40">
      <w:pPr>
        <w:overflowPunct w:val="0"/>
        <w:adjustRightInd w:val="0"/>
        <w:spacing w:before="0" w:after="0" w:line="360" w:lineRule="auto"/>
        <w:ind w:left="735" w:hanging="315" w:leftChars="200"/>
        <w:textAlignment w:val="center"/>
        <w:rPr>
          <w:rFonts w:ascii="Times New Roman" w:eastAsia="黑体" w:hAnsi="Times New Roman" w:cs="Times New Roman" w:hint="default"/>
          <w:spacing w:val="2"/>
          <w:kern w:val="0"/>
          <w:szCs w:val="21"/>
        </w:rPr>
      </w:pPr>
      <w:r>
        <w:rPr>
          <w:rFonts w:ascii="Times New Roman" w:eastAsia="黑体" w:hAnsi="Times New Roman" w:cs="Times New Roman" w:hint="default"/>
          <w:spacing w:val="2"/>
          <w:kern w:val="0"/>
          <w:szCs w:val="21"/>
        </w:rPr>
        <w:t>2．回答选择题时，选出每小题答案后，用铅笔把答题卡上对应题目的答案标号涂黑。如</w:t>
      </w:r>
    </w:p>
    <w:p w14:paraId="0D18D164">
      <w:pPr>
        <w:overflowPunct w:val="0"/>
        <w:adjustRightInd w:val="0"/>
        <w:spacing w:before="0" w:after="0" w:line="360" w:lineRule="auto"/>
        <w:ind w:left="420" w:hanging="420" w:hangingChars="200"/>
        <w:textAlignment w:val="center"/>
        <w:rPr>
          <w:rFonts w:ascii="Times New Roman" w:eastAsia="黑体" w:hAnsi="Times New Roman" w:cs="Times New Roman" w:hint="default"/>
          <w:spacing w:val="2"/>
          <w:kern w:val="0"/>
          <w:szCs w:val="21"/>
        </w:rPr>
      </w:pPr>
      <w:r>
        <w:rPr>
          <w:rFonts w:ascii="Times New Roman" w:eastAsia="黑体" w:hAnsi="Times New Roman" w:cs="Times New Roman" w:hint="default"/>
          <w:spacing w:val="2"/>
          <w:kern w:val="0"/>
          <w:szCs w:val="21"/>
        </w:rPr>
        <w:t>需改动，用橡皮擦干净后，再选涂其他答案标号。回答非选择题时，将答案写在答题卡上。写</w:t>
      </w:r>
    </w:p>
    <w:p w14:paraId="52A3F171">
      <w:pPr>
        <w:overflowPunct w:val="0"/>
        <w:adjustRightInd w:val="0"/>
        <w:spacing w:before="0" w:after="0" w:line="360" w:lineRule="auto"/>
        <w:ind w:left="420" w:hanging="420" w:hangingChars="200"/>
        <w:textAlignment w:val="center"/>
        <w:rPr>
          <w:rFonts w:ascii="Times New Roman" w:eastAsia="黑体" w:hAnsi="Times New Roman" w:cs="Times New Roman" w:hint="default"/>
          <w:spacing w:val="2"/>
          <w:kern w:val="0"/>
          <w:szCs w:val="21"/>
        </w:rPr>
      </w:pPr>
      <w:r>
        <w:rPr>
          <w:rFonts w:ascii="Times New Roman" w:eastAsia="黑体" w:hAnsi="Times New Roman" w:cs="Times New Roman" w:hint="default"/>
          <w:spacing w:val="2"/>
          <w:kern w:val="0"/>
          <w:szCs w:val="21"/>
        </w:rPr>
        <w:t>在本试卷上无效。</w:t>
      </w:r>
    </w:p>
    <w:p w14:paraId="7975D200">
      <w:pPr>
        <w:numPr>
          <w:ilvl w:val="0"/>
          <w:numId w:val="1"/>
        </w:numPr>
        <w:overflowPunct w:val="0"/>
        <w:adjustRightInd w:val="0"/>
        <w:spacing w:before="0" w:after="0" w:line="360" w:lineRule="auto"/>
        <w:ind w:left="420" w:firstLine="0" w:leftChars="200"/>
        <w:textAlignment w:val="center"/>
        <w:rPr>
          <w:rFonts w:ascii="Times New Roman" w:eastAsia="黑体" w:hAnsi="Times New Roman" w:cs="Times New Roman" w:hint="default"/>
          <w:spacing w:val="2"/>
          <w:kern w:val="0"/>
          <w:szCs w:val="21"/>
        </w:rPr>
      </w:pPr>
      <w:r>
        <w:rPr>
          <w:rFonts w:ascii="Times New Roman" w:eastAsia="黑体" w:hAnsi="Times New Roman" w:cs="Times New Roman" w:hint="default"/>
          <w:spacing w:val="2"/>
          <w:kern w:val="0"/>
          <w:szCs w:val="21"/>
        </w:rPr>
        <w:t>考试结束后，将本试卷和答题卡一并交回</w:t>
      </w:r>
      <w:r>
        <w:rPr>
          <w:rFonts w:ascii="Times New Roman" w:eastAsia="黑体" w:hAnsi="Times New Roman" w:cs="Times New Roman" w:hint="default"/>
          <w:spacing w:val="2"/>
          <w:kern w:val="0"/>
          <w:szCs w:val="21"/>
          <w:lang w:eastAsia="zh-CN"/>
        </w:rPr>
        <w:t>。</w:t>
      </w:r>
    </w:p>
    <w:p w14:paraId="5EEEAC1B">
      <w:pPr>
        <w:widowControl/>
        <w:spacing w:before="0" w:after="0" w:line="360" w:lineRule="auto"/>
        <w:ind w:left="315" w:firstLine="0"/>
        <w:jc w:val="center"/>
        <w:textAlignment w:val="center"/>
        <w:rPr>
          <w:rFonts w:ascii="Times New Roman" w:eastAsia="黑体" w:hAnsi="Times New Roman" w:cs="Times New Roman"/>
          <w:spacing w:val="2"/>
          <w:kern w:val="0"/>
          <w:sz w:val="32"/>
          <w:szCs w:val="32"/>
        </w:rPr>
      </w:pPr>
      <w:r>
        <w:rPr>
          <w:rFonts w:ascii="Times New Roman" w:hAnsi="Times New Roman" w:cs="Times New Roman"/>
          <w:sz w:val="32"/>
          <w:szCs w:val="32"/>
        </w:rPr>
        <w:t>第Ⅰ卷</w:t>
      </w:r>
      <w:r>
        <w:rPr>
          <w:rFonts w:ascii="宋体" w:eastAsia="宋体" w:hAnsi="宋体" w:cs="宋体"/>
          <w:b/>
          <w:color w:val="auto"/>
          <w:sz w:val="32"/>
          <w:szCs w:val="32"/>
        </w:rPr>
        <w:t>选择题部分</w:t>
      </w:r>
    </w:p>
    <w:p w14:paraId="5E4B213A">
      <w:pPr>
        <w:spacing w:before="0" w:after="0" w:line="360" w:lineRule="auto"/>
        <w:ind w:left="0" w:firstLine="0"/>
        <w:jc w:val="left"/>
      </w:pPr>
      <w:r>
        <w:rPr>
          <w:rFonts w:ascii="宋体" w:eastAsia="宋体" w:hAnsi="宋体" w:cs="宋体"/>
          <w:b/>
          <w:color w:val="auto"/>
          <w:sz w:val="24"/>
        </w:rPr>
        <w:t>一、选择题(本大题共1</w:t>
      </w:r>
      <w:r>
        <w:rPr>
          <w:rFonts w:ascii="宋体" w:hAnsi="宋体" w:cs="宋体" w:hint="eastAsia"/>
          <w:b/>
          <w:color w:val="auto"/>
          <w:sz w:val="24"/>
          <w:lang w:val="en-US" w:eastAsia="zh-CN"/>
        </w:rPr>
        <w:t>6</w:t>
      </w:r>
      <w:r>
        <w:rPr>
          <w:rFonts w:ascii="宋体" w:eastAsia="宋体" w:hAnsi="宋体" w:cs="宋体"/>
          <w:b/>
          <w:color w:val="auto"/>
          <w:sz w:val="24"/>
        </w:rPr>
        <w:t>小题，每小题2分,共3</w:t>
      </w:r>
      <w:r>
        <w:rPr>
          <w:rFonts w:ascii="宋体" w:hAnsi="宋体" w:cs="宋体" w:hint="eastAsia"/>
          <w:b/>
          <w:color w:val="auto"/>
          <w:sz w:val="24"/>
          <w:lang w:val="en-US" w:eastAsia="zh-CN"/>
        </w:rPr>
        <w:t>2</w:t>
      </w:r>
      <w:r>
        <w:rPr>
          <w:rFonts w:ascii="宋体" w:eastAsia="宋体" w:hAnsi="宋体" w:cs="宋体"/>
          <w:b/>
          <w:color w:val="auto"/>
          <w:sz w:val="24"/>
        </w:rPr>
        <w:t>分。每小题列出的四个备选项中只有一个是符合题目要求的，不选、多选，错选均不得分)</w:t>
      </w:r>
    </w:p>
    <w:p w14:paraId="45CBC463">
      <w:pPr>
        <w:shd w:val="clear" w:color="auto" w:fill="auto"/>
        <w:spacing w:before="0" w:after="0" w:line="360" w:lineRule="auto"/>
        <w:ind w:left="315" w:hanging="315"/>
        <w:jc w:val="left"/>
        <w:textAlignment w:val="center"/>
        <w:rPr>
          <w:sz w:val="21"/>
        </w:rPr>
      </w:pPr>
      <w:r>
        <w:rPr>
          <w:sz w:val="21"/>
        </w:rPr>
        <w:t>1．习近平主席在二〇二五年新年贺词中指出：“中国式现代化的新征程上，每一个人都是主角，每一份付出都弥足珍贵，每一束光芒都熠熠生辉。”奋进中国式现代化的新征程上，施展才干的舞台无比广阔，每个人都有人生出彩的机会。作为当代中国青年，在时代的大舞台上，我们必须（</w:t>
      </w:r>
      <w:r>
        <w:rPr>
          <w:rFonts w:ascii="Times New Roman" w:eastAsia="Times New Roman" w:hAnsi="Times New Roman" w:cs="Times New Roman"/>
          <w:kern w:val="0"/>
          <w:sz w:val="24"/>
          <w:szCs w:val="24"/>
        </w:rPr>
        <w:t>   </w:t>
      </w:r>
      <w:r>
        <w:rPr>
          <w:sz w:val="21"/>
        </w:rPr>
        <w:t>）</w:t>
      </w:r>
    </w:p>
    <w:p w14:paraId="2A78F121">
      <w:pPr>
        <w:shd w:val="clear" w:color="auto" w:fill="auto"/>
        <w:spacing w:before="0" w:after="0" w:line="360" w:lineRule="auto"/>
        <w:ind w:left="315" w:firstLine="0"/>
        <w:jc w:val="left"/>
        <w:textAlignment w:val="center"/>
        <w:rPr>
          <w:sz w:val="21"/>
        </w:rPr>
      </w:pPr>
      <w:r>
        <w:rPr>
          <w:sz w:val="21"/>
        </w:rPr>
        <w:t>①志存高远，脚踏实地，自觉肩负起民族独立、人民解放的历史使命</w:t>
      </w:r>
    </w:p>
    <w:p w14:paraId="29134A21">
      <w:pPr>
        <w:shd w:val="clear" w:color="auto" w:fill="auto"/>
        <w:spacing w:before="0" w:after="0" w:line="360" w:lineRule="auto"/>
        <w:ind w:left="315" w:firstLine="0"/>
        <w:jc w:val="left"/>
        <w:textAlignment w:val="center"/>
        <w:rPr>
          <w:sz w:val="21"/>
        </w:rPr>
      </w:pPr>
      <w:r>
        <w:rPr>
          <w:sz w:val="21"/>
        </w:rPr>
        <w:t>②坚定理想信念，厚植家国情怀，与国家同呼吸，与人民共命运</w:t>
      </w:r>
    </w:p>
    <w:p w14:paraId="7F2FE6F4">
      <w:pPr>
        <w:shd w:val="clear" w:color="auto" w:fill="auto"/>
        <w:spacing w:before="0" w:after="0" w:line="360" w:lineRule="auto"/>
        <w:ind w:left="315" w:firstLine="0"/>
        <w:jc w:val="left"/>
        <w:textAlignment w:val="center"/>
        <w:rPr>
          <w:sz w:val="21"/>
        </w:rPr>
      </w:pPr>
      <w:r>
        <w:rPr>
          <w:sz w:val="21"/>
        </w:rPr>
        <w:t>③胸怀天下之志，把国家和民族的伟大梦想融入自己的人生理想之中</w:t>
      </w:r>
    </w:p>
    <w:p w14:paraId="6FF7E1AA">
      <w:pPr>
        <w:shd w:val="clear" w:color="auto" w:fill="auto"/>
        <w:spacing w:before="0" w:after="0" w:line="360" w:lineRule="auto"/>
        <w:ind w:left="315" w:firstLine="0"/>
        <w:jc w:val="left"/>
        <w:textAlignment w:val="center"/>
        <w:rPr>
          <w:sz w:val="21"/>
        </w:rPr>
      </w:pPr>
      <w:r>
        <w:rPr>
          <w:sz w:val="21"/>
        </w:rPr>
        <w:t>④挺膺担当，锐意进取，在民族复兴伟业中展现青春作为、贡献青春力量</w:t>
      </w:r>
    </w:p>
    <w:p w14:paraId="10ECCC52">
      <w:pPr>
        <w:shd w:val="clear" w:color="auto" w:fill="auto"/>
        <w:tabs>
          <w:tab w:val="left" w:pos="2078"/>
          <w:tab w:val="left" w:pos="4156"/>
          <w:tab w:val="left" w:pos="6234"/>
        </w:tabs>
        <w:spacing w:before="0" w:after="0" w:line="360" w:lineRule="auto"/>
        <w:ind w:left="315" w:firstLine="0"/>
        <w:jc w:val="left"/>
        <w:textAlignment w:val="center"/>
        <w:rPr>
          <w:sz w:val="21"/>
        </w:rPr>
      </w:pPr>
      <w:r>
        <w:rPr>
          <w:sz w:val="21"/>
        </w:rPr>
        <w:t>A．①②</w:t>
      </w:r>
      <w:r>
        <w:rPr>
          <w:sz w:val="21"/>
        </w:rPr>
        <w:tab/>
      </w:r>
      <w:r>
        <w:rPr>
          <w:sz w:val="21"/>
        </w:rPr>
        <w:t>B．①③</w:t>
      </w:r>
      <w:r>
        <w:rPr>
          <w:sz w:val="21"/>
        </w:rPr>
        <w:tab/>
      </w:r>
      <w:r>
        <w:rPr>
          <w:sz w:val="21"/>
        </w:rPr>
        <w:t>C．②④</w:t>
      </w:r>
      <w:r>
        <w:rPr>
          <w:sz w:val="21"/>
        </w:rPr>
        <w:tab/>
      </w:r>
      <w:r>
        <w:rPr>
          <w:sz w:val="21"/>
        </w:rPr>
        <w:t>D．③④</w:t>
      </w:r>
    </w:p>
    <w:p w14:paraId="450B833D">
      <w:pPr>
        <w:shd w:val="clear" w:color="auto" w:fill="auto"/>
        <w:spacing w:before="0" w:after="0" w:line="360" w:lineRule="auto"/>
        <w:ind w:left="315" w:hanging="315"/>
        <w:jc w:val="left"/>
        <w:textAlignment w:val="center"/>
        <w:rPr>
          <w:sz w:val="21"/>
        </w:rPr>
      </w:pPr>
      <w:r>
        <w:rPr>
          <w:sz w:val="21"/>
        </w:rPr>
        <w:t>2．中共中央总书记、国家主席、中央军委主席习近平在纪念邓小平同志诞辰120周年座谈会上强调，邓小平同志留给我们最重要的思想财富，就是以他为主创立的邓小平理论。把邓小平理论确立为党和国家的指导思想，是党和人民从历史和现实中得出的不可动摇的结论。这基于邓小平理论是（</w:t>
      </w:r>
      <w:r>
        <w:rPr>
          <w:rFonts w:ascii="Times New Roman" w:eastAsia="Times New Roman" w:hAnsi="Times New Roman" w:cs="Times New Roman"/>
          <w:kern w:val="0"/>
          <w:sz w:val="24"/>
          <w:szCs w:val="24"/>
        </w:rPr>
        <w:t>   </w:t>
      </w:r>
      <w:r>
        <w:rPr>
          <w:sz w:val="21"/>
        </w:rPr>
        <w:t>）</w:t>
      </w:r>
    </w:p>
    <w:p w14:paraId="6486CC01">
      <w:pPr>
        <w:shd w:val="clear" w:color="auto" w:fill="auto"/>
        <w:spacing w:before="0" w:after="0" w:line="360" w:lineRule="auto"/>
        <w:ind w:left="315" w:firstLine="0"/>
        <w:jc w:val="left"/>
        <w:textAlignment w:val="center"/>
        <w:rPr>
          <w:sz w:val="21"/>
        </w:rPr>
      </w:pPr>
      <w:r>
        <w:rPr>
          <w:sz w:val="21"/>
        </w:rPr>
        <w:t>①中国特色社会主义理论体系的奠基之作</w:t>
      </w:r>
    </w:p>
    <w:p w14:paraId="3927A423">
      <w:pPr>
        <w:shd w:val="clear" w:color="auto" w:fill="auto"/>
        <w:spacing w:before="0" w:after="0" w:line="360" w:lineRule="auto"/>
        <w:ind w:left="315" w:firstLine="0"/>
        <w:jc w:val="left"/>
        <w:textAlignment w:val="center"/>
        <w:rPr>
          <w:sz w:val="21"/>
        </w:rPr>
      </w:pPr>
      <w:r>
        <w:rPr>
          <w:sz w:val="21"/>
        </w:rPr>
        <w:t>②改革开放以来党的全部理论和实践的主题</w:t>
      </w:r>
    </w:p>
    <w:p w14:paraId="294E93C6">
      <w:pPr>
        <w:shd w:val="clear" w:color="auto" w:fill="auto"/>
        <w:spacing w:before="0" w:after="0" w:line="360" w:lineRule="auto"/>
        <w:ind w:left="315" w:firstLine="0"/>
        <w:jc w:val="left"/>
        <w:textAlignment w:val="center"/>
        <w:rPr>
          <w:sz w:val="21"/>
        </w:rPr>
      </w:pPr>
      <w:r>
        <w:rPr>
          <w:sz w:val="21"/>
        </w:rPr>
        <w:t>③我国改革开放和社会主义现代化建设的行动指南</w:t>
      </w:r>
    </w:p>
    <w:p w14:paraId="52F8352C">
      <w:pPr>
        <w:shd w:val="clear" w:color="auto" w:fill="auto"/>
        <w:spacing w:before="0" w:after="0" w:line="360" w:lineRule="auto"/>
        <w:ind w:left="315" w:firstLine="0"/>
        <w:jc w:val="left"/>
        <w:textAlignment w:val="center"/>
        <w:rPr>
          <w:sz w:val="21"/>
        </w:rPr>
      </w:pPr>
      <w:r>
        <w:rPr>
          <w:sz w:val="21"/>
        </w:rPr>
        <w:t>④立足时代之基、回答时代之问、引领时代之变的科学理论</w:t>
      </w:r>
    </w:p>
    <w:p w14:paraId="428ADC26">
      <w:pPr>
        <w:shd w:val="clear" w:color="auto" w:fill="auto"/>
        <w:tabs>
          <w:tab w:val="left" w:pos="2078"/>
          <w:tab w:val="left" w:pos="4156"/>
          <w:tab w:val="left" w:pos="6234"/>
        </w:tabs>
        <w:spacing w:before="0" w:after="0" w:line="360" w:lineRule="auto"/>
        <w:ind w:left="315" w:firstLine="0"/>
        <w:jc w:val="left"/>
        <w:textAlignment w:val="center"/>
        <w:rPr>
          <w:sz w:val="21"/>
        </w:rPr>
      </w:pPr>
      <w:r>
        <w:rPr>
          <w:sz w:val="21"/>
        </w:rPr>
        <w:t>A．①②</w:t>
      </w:r>
      <w:r>
        <w:rPr>
          <w:sz w:val="21"/>
        </w:rPr>
        <w:tab/>
      </w:r>
      <w:r>
        <w:rPr>
          <w:sz w:val="21"/>
        </w:rPr>
        <w:t>B．①③</w:t>
      </w:r>
      <w:r>
        <w:rPr>
          <w:sz w:val="21"/>
        </w:rPr>
        <w:tab/>
      </w:r>
      <w:r>
        <w:rPr>
          <w:sz w:val="21"/>
        </w:rPr>
        <w:t>C．②④</w:t>
      </w:r>
      <w:r>
        <w:rPr>
          <w:sz w:val="21"/>
        </w:rPr>
        <w:tab/>
      </w:r>
      <w:r>
        <w:rPr>
          <w:sz w:val="21"/>
        </w:rPr>
        <w:t>D．③④</w:t>
      </w:r>
    </w:p>
    <w:p w14:paraId="13EE715F">
      <w:pPr>
        <w:shd w:val="clear" w:color="auto" w:fill="auto"/>
        <w:spacing w:before="0" w:after="0" w:line="360" w:lineRule="auto"/>
        <w:ind w:left="315" w:hanging="315"/>
        <w:jc w:val="left"/>
        <w:textAlignment w:val="center"/>
        <w:rPr>
          <w:sz w:val="21"/>
        </w:rPr>
      </w:pPr>
      <w:r>
        <w:rPr>
          <w:sz w:val="21"/>
        </w:rPr>
        <w:t>3．</w:t>
      </w:r>
      <w:r>
        <w:rPr>
          <w:rFonts w:ascii="黑体" w:eastAsia="黑体" w:hAnsi="黑体" w:cs="黑体" w:hint="eastAsia"/>
          <w:color w:val="C00000"/>
          <w:sz w:val="24"/>
          <w:szCs w:val="24"/>
          <w:highlight w:val="yellow"/>
          <w:lang w:eastAsia="zh-CN"/>
        </w:rPr>
        <w:t>（</w:t>
      </w:r>
      <w:r>
        <w:rPr>
          <w:rFonts w:ascii="黑体" w:eastAsia="黑体" w:hAnsi="黑体" w:cs="黑体" w:hint="eastAsia"/>
          <w:color w:val="C00000"/>
          <w:sz w:val="24"/>
          <w:szCs w:val="24"/>
          <w:highlight w:val="yellow"/>
          <w:lang w:val="en-US" w:eastAsia="zh-CN"/>
        </w:rPr>
        <w:t>改编题</w:t>
      </w:r>
      <w:r>
        <w:rPr>
          <w:rFonts w:ascii="黑体" w:eastAsia="黑体" w:hAnsi="黑体" w:cs="黑体" w:hint="eastAsia"/>
          <w:color w:val="C00000"/>
          <w:sz w:val="24"/>
          <w:szCs w:val="24"/>
          <w:highlight w:val="yellow"/>
          <w:lang w:eastAsia="zh-CN"/>
        </w:rPr>
        <w:t>）</w:t>
      </w:r>
      <w:r>
        <w:rPr>
          <w:sz w:val="21"/>
        </w:rPr>
        <w:t>“只有创造过辉煌的民族，才懂得复兴的意义；只有经历过苦难的民族，才对复兴有如此深切的渴望。”如今，中华民族伟大复兴进入新时代，我们具备过去难以想象的良好发展条件，比历史上任何时期都更接近、更有信心和能力实现中华民族伟大复兴的中国梦。这意味着（</w:t>
      </w:r>
      <w:r>
        <w:rPr>
          <w:rFonts w:ascii="Times New Roman" w:eastAsia="Times New Roman" w:hAnsi="Times New Roman" w:cs="Times New Roman"/>
          <w:kern w:val="0"/>
          <w:sz w:val="24"/>
          <w:szCs w:val="24"/>
        </w:rPr>
        <w:t>   </w:t>
      </w:r>
      <w:r>
        <w:rPr>
          <w:sz w:val="21"/>
        </w:rPr>
        <w:t>）</w:t>
      </w:r>
    </w:p>
    <w:p w14:paraId="25770408">
      <w:pPr>
        <w:shd w:val="clear" w:color="auto" w:fill="auto"/>
        <w:spacing w:before="0" w:after="0" w:line="360" w:lineRule="auto"/>
        <w:ind w:left="315" w:firstLine="0"/>
        <w:jc w:val="left"/>
        <w:textAlignment w:val="center"/>
        <w:rPr>
          <w:sz w:val="21"/>
        </w:rPr>
      </w:pPr>
      <w:r>
        <w:rPr>
          <w:sz w:val="21"/>
        </w:rPr>
        <w:t>①中国梦连接历史、现实和未来，本质是国家富强、民族振兴、人民幸福</w:t>
      </w:r>
    </w:p>
    <w:p w14:paraId="7EA2E665">
      <w:pPr>
        <w:shd w:val="clear" w:color="auto" w:fill="auto"/>
        <w:spacing w:before="0" w:after="0" w:line="360" w:lineRule="auto"/>
        <w:ind w:left="315" w:firstLine="0"/>
        <w:jc w:val="left"/>
        <w:textAlignment w:val="center"/>
        <w:rPr>
          <w:sz w:val="21"/>
        </w:rPr>
      </w:pPr>
      <w:r>
        <w:rPr>
          <w:sz w:val="21"/>
        </w:rPr>
        <w:t>②新时代的历史机遇，是中华民族强起来、实现民族伟大复兴的机遇</w:t>
      </w:r>
    </w:p>
    <w:p w14:paraId="5EE95A1E">
      <w:pPr>
        <w:shd w:val="clear" w:color="auto" w:fill="auto"/>
        <w:spacing w:before="0" w:after="0" w:line="360" w:lineRule="auto"/>
        <w:ind w:left="315" w:firstLine="0"/>
        <w:jc w:val="left"/>
        <w:textAlignment w:val="center"/>
        <w:rPr>
          <w:sz w:val="21"/>
        </w:rPr>
      </w:pPr>
      <w:r>
        <w:rPr>
          <w:sz w:val="21"/>
        </w:rPr>
        <w:t>③中国梦是中国人民的梦也是世界人民的梦，同世界人民的梦想息息相通</w:t>
      </w:r>
    </w:p>
    <w:p w14:paraId="1EBBC488">
      <w:pPr>
        <w:shd w:val="clear" w:color="auto" w:fill="auto"/>
        <w:spacing w:before="0" w:after="0" w:line="360" w:lineRule="auto"/>
        <w:ind w:left="315" w:firstLine="0"/>
        <w:jc w:val="left"/>
        <w:textAlignment w:val="center"/>
        <w:rPr>
          <w:sz w:val="21"/>
        </w:rPr>
      </w:pPr>
      <w:r>
        <w:rPr>
          <w:sz w:val="21"/>
        </w:rPr>
        <w:t>④新时代实现中华民族伟大复兴，必须推进中国特色社会主义伟大工程</w:t>
      </w:r>
    </w:p>
    <w:p w14:paraId="1CA971A4">
      <w:pPr>
        <w:shd w:val="clear" w:color="auto" w:fill="auto"/>
        <w:tabs>
          <w:tab w:val="left" w:pos="2078"/>
          <w:tab w:val="left" w:pos="4156"/>
          <w:tab w:val="left" w:pos="6234"/>
        </w:tabs>
        <w:spacing w:before="0" w:after="0" w:line="360" w:lineRule="auto"/>
        <w:ind w:left="315" w:firstLine="0"/>
        <w:jc w:val="left"/>
        <w:textAlignment w:val="center"/>
        <w:rPr>
          <w:sz w:val="21"/>
        </w:rPr>
      </w:pPr>
      <w:r>
        <w:rPr>
          <w:sz w:val="21"/>
        </w:rPr>
        <w:t>A．①②</w:t>
      </w:r>
      <w:r>
        <w:rPr>
          <w:sz w:val="21"/>
        </w:rPr>
        <w:tab/>
      </w:r>
      <w:r>
        <w:rPr>
          <w:sz w:val="21"/>
        </w:rPr>
        <w:t>B．①③</w:t>
      </w:r>
      <w:r>
        <w:rPr>
          <w:sz w:val="21"/>
        </w:rPr>
        <w:tab/>
      </w:r>
      <w:r>
        <w:rPr>
          <w:sz w:val="21"/>
        </w:rPr>
        <w:t>C．②④</w:t>
      </w:r>
      <w:r>
        <w:rPr>
          <w:sz w:val="21"/>
        </w:rPr>
        <w:tab/>
      </w:r>
      <w:r>
        <w:rPr>
          <w:sz w:val="21"/>
        </w:rPr>
        <w:t>D．③④</w:t>
      </w:r>
    </w:p>
    <w:p w14:paraId="13C303F8">
      <w:pPr>
        <w:shd w:val="clear" w:color="auto" w:fill="auto"/>
        <w:spacing w:before="0" w:after="0" w:line="360" w:lineRule="auto"/>
        <w:ind w:left="315" w:hanging="315"/>
        <w:jc w:val="left"/>
        <w:textAlignment w:val="center"/>
        <w:rPr>
          <w:sz w:val="21"/>
        </w:rPr>
      </w:pPr>
      <w:r>
        <w:rPr>
          <w:sz w:val="21"/>
        </w:rPr>
        <w:t>4．“在一切社会形式中都有一种一定的生产决定其他一切生产的地位和影响，因而它的关系也决定其他一切关系的地位和影响。这是一种普照的光，它掩盖了一切其他色彩，改变着它们的特点。这是一种特殊的以太，它决定着它里面显露出来的一切存在的比重。”这一论述认为（</w:t>
      </w:r>
      <w:r>
        <w:rPr>
          <w:rFonts w:ascii="Times New Roman" w:eastAsia="Times New Roman" w:hAnsi="Times New Roman" w:cs="Times New Roman"/>
          <w:kern w:val="0"/>
          <w:sz w:val="24"/>
          <w:szCs w:val="24"/>
        </w:rPr>
        <w:t>   </w:t>
      </w:r>
      <w:r>
        <w:rPr>
          <w:sz w:val="21"/>
        </w:rPr>
        <w:t>）</w:t>
      </w:r>
    </w:p>
    <w:p w14:paraId="3A0AA84E">
      <w:pPr>
        <w:shd w:val="clear" w:color="auto" w:fill="auto"/>
        <w:spacing w:before="0" w:after="0" w:line="360" w:lineRule="auto"/>
        <w:ind w:left="315" w:firstLine="0"/>
        <w:jc w:val="left"/>
        <w:textAlignment w:val="center"/>
        <w:rPr>
          <w:sz w:val="21"/>
        </w:rPr>
      </w:pPr>
      <w:r>
        <w:rPr>
          <w:sz w:val="21"/>
        </w:rPr>
        <w:t>A．“普照的光”从根本上决定和改变一切社会存在的性质</w:t>
      </w:r>
    </w:p>
    <w:p w14:paraId="5CED0BCC">
      <w:pPr>
        <w:shd w:val="clear" w:color="auto" w:fill="auto"/>
        <w:spacing w:before="0" w:after="0" w:line="360" w:lineRule="auto"/>
        <w:ind w:left="315" w:firstLine="0"/>
        <w:jc w:val="left"/>
        <w:textAlignment w:val="center"/>
        <w:rPr>
          <w:sz w:val="21"/>
        </w:rPr>
      </w:pPr>
      <w:r>
        <w:rPr>
          <w:sz w:val="21"/>
        </w:rPr>
        <w:t>B．社会生产的不同形式在人类社会发展不同阶段作用不同</w:t>
      </w:r>
    </w:p>
    <w:p w14:paraId="0C117CBC">
      <w:pPr>
        <w:shd w:val="clear" w:color="auto" w:fill="auto"/>
        <w:spacing w:before="0" w:after="0" w:line="360" w:lineRule="auto"/>
        <w:ind w:left="315" w:firstLine="0"/>
        <w:jc w:val="left"/>
        <w:textAlignment w:val="center"/>
        <w:rPr>
          <w:sz w:val="21"/>
        </w:rPr>
      </w:pPr>
      <w:r>
        <w:rPr>
          <w:sz w:val="21"/>
        </w:rPr>
        <w:t>C．“普照的光”抑制了资本生产关系的对抗性和异化形式</w:t>
      </w:r>
    </w:p>
    <w:p w14:paraId="0DDC5153">
      <w:pPr>
        <w:shd w:val="clear" w:color="auto" w:fill="auto"/>
        <w:spacing w:before="0" w:after="0" w:line="360" w:lineRule="auto"/>
        <w:ind w:left="315" w:firstLine="0"/>
        <w:jc w:val="left"/>
        <w:textAlignment w:val="center"/>
        <w:rPr>
          <w:sz w:val="21"/>
        </w:rPr>
      </w:pPr>
      <w:r>
        <w:rPr>
          <w:sz w:val="21"/>
        </w:rPr>
        <w:t>D．公有资本作为生产关系“普照的光”引导非公资本发展</w:t>
      </w:r>
    </w:p>
    <w:p w14:paraId="6CF49B75">
      <w:pPr>
        <w:shd w:val="clear" w:color="auto" w:fill="auto"/>
        <w:spacing w:before="0" w:after="0" w:line="360" w:lineRule="auto"/>
        <w:ind w:left="315" w:hanging="315"/>
        <w:jc w:val="left"/>
        <w:textAlignment w:val="center"/>
        <w:rPr>
          <w:sz w:val="21"/>
        </w:rPr>
      </w:pPr>
      <w:r>
        <w:rPr>
          <w:sz w:val="21"/>
        </w:rPr>
        <w:t>5．“西方率先享受到现代化成果，但并不意味着西方的发展模式、价值观念、制度体系和治理体系是实现现代化的唯一标准和样式。西方现代化道路并没有结束人类对现代化的探索，西方的现代性文明并不构成历史的终结。因现实国情、文化传统、历史命运不同，通向现代化的道路不可避免地表现出多样性。”由此可知（</w:t>
      </w:r>
      <w:r>
        <w:rPr>
          <w:rFonts w:ascii="Times New Roman" w:eastAsia="Times New Roman" w:hAnsi="Times New Roman" w:cs="Times New Roman"/>
          <w:kern w:val="0"/>
          <w:sz w:val="24"/>
          <w:szCs w:val="24"/>
        </w:rPr>
        <w:t>    </w:t>
      </w:r>
      <w:r>
        <w:rPr>
          <w:sz w:val="21"/>
        </w:rPr>
        <w:t>）</w:t>
      </w:r>
    </w:p>
    <w:p w14:paraId="3B0C8395">
      <w:pPr>
        <w:shd w:val="clear" w:color="auto" w:fill="auto"/>
        <w:spacing w:before="0" w:after="0" w:line="360" w:lineRule="auto"/>
        <w:ind w:left="315" w:firstLine="0"/>
        <w:jc w:val="left"/>
        <w:textAlignment w:val="center"/>
        <w:rPr>
          <w:sz w:val="21"/>
        </w:rPr>
      </w:pPr>
      <w:r>
        <w:rPr>
          <w:sz w:val="21"/>
        </w:rPr>
        <w:t>①有些国家不必遵循从低级到高级的发展历程</w:t>
      </w:r>
      <w:r>
        <w:rPr>
          <w:rFonts w:ascii="Times New Roman" w:eastAsia="Times New Roman" w:hAnsi="Times New Roman" w:cs="Times New Roman"/>
          <w:kern w:val="0"/>
          <w:sz w:val="24"/>
          <w:szCs w:val="24"/>
        </w:rPr>
        <w:t>      </w:t>
      </w:r>
      <w:r>
        <w:rPr>
          <w:sz w:val="21"/>
        </w:rPr>
        <w:t>②西方现代化模式对中国式现代化具有借鉴意义</w:t>
      </w:r>
    </w:p>
    <w:p w14:paraId="3E3FCD7A">
      <w:pPr>
        <w:shd w:val="clear" w:color="auto" w:fill="auto"/>
        <w:spacing w:before="0" w:after="0" w:line="360" w:lineRule="auto"/>
        <w:ind w:left="315" w:firstLine="0"/>
        <w:jc w:val="left"/>
        <w:textAlignment w:val="center"/>
        <w:rPr>
          <w:sz w:val="21"/>
        </w:rPr>
      </w:pPr>
      <w:r>
        <w:rPr>
          <w:sz w:val="21"/>
        </w:rPr>
        <w:t>③中国式现代化打破了西方现代化模式的神话</w:t>
      </w:r>
      <w:r>
        <w:rPr>
          <w:rFonts w:ascii="Times New Roman" w:eastAsia="Times New Roman" w:hAnsi="Times New Roman" w:cs="Times New Roman"/>
          <w:kern w:val="0"/>
          <w:sz w:val="24"/>
          <w:szCs w:val="24"/>
        </w:rPr>
        <w:t>      </w:t>
      </w:r>
      <w:r>
        <w:rPr>
          <w:sz w:val="21"/>
        </w:rPr>
        <w:t>④我国要坚定不移走符合本国国情的发展道路</w:t>
      </w:r>
    </w:p>
    <w:p w14:paraId="77227AE0">
      <w:pPr>
        <w:shd w:val="clear" w:color="auto" w:fill="auto"/>
        <w:tabs>
          <w:tab w:val="left" w:pos="2078"/>
          <w:tab w:val="left" w:pos="4156"/>
          <w:tab w:val="left" w:pos="6234"/>
        </w:tabs>
        <w:spacing w:before="0" w:after="0" w:line="360" w:lineRule="auto"/>
        <w:ind w:left="315" w:firstLine="0"/>
        <w:jc w:val="left"/>
        <w:textAlignment w:val="center"/>
        <w:rPr>
          <w:sz w:val="21"/>
        </w:rPr>
      </w:pPr>
      <w:r>
        <w:rPr>
          <w:sz w:val="21"/>
        </w:rPr>
        <w:t>A．①②</w:t>
      </w:r>
      <w:r>
        <w:rPr>
          <w:sz w:val="21"/>
        </w:rPr>
        <w:tab/>
      </w:r>
      <w:r>
        <w:rPr>
          <w:sz w:val="21"/>
        </w:rPr>
        <w:t>B．①③</w:t>
      </w:r>
      <w:r>
        <w:rPr>
          <w:sz w:val="21"/>
        </w:rPr>
        <w:tab/>
      </w:r>
      <w:r>
        <w:rPr>
          <w:sz w:val="21"/>
        </w:rPr>
        <w:t>C．②④</w:t>
      </w:r>
      <w:r>
        <w:rPr>
          <w:sz w:val="21"/>
        </w:rPr>
        <w:tab/>
      </w:r>
      <w:r>
        <w:rPr>
          <w:sz w:val="21"/>
        </w:rPr>
        <w:t>D．③④</w:t>
      </w:r>
    </w:p>
    <w:p w14:paraId="4E3CDDDF">
      <w:pPr>
        <w:shd w:val="clear" w:color="auto" w:fill="auto"/>
        <w:spacing w:before="0" w:after="0" w:line="360" w:lineRule="auto"/>
        <w:ind w:left="315" w:hanging="315"/>
        <w:jc w:val="left"/>
        <w:textAlignment w:val="center"/>
        <w:rPr>
          <w:sz w:val="21"/>
        </w:rPr>
      </w:pPr>
      <w:r>
        <w:rPr>
          <w:sz w:val="21"/>
        </w:rPr>
        <w:t>6．2025年1月，农业农村部相关负责人表示，当前我国“菜篮子”产品物丰价稳供应充足。在生产供给方面，要及时预判灾害性天气对农业生产的影响，保证市场正常供应。以下属于蔬菜稳产保供措施的有（</w:t>
      </w:r>
      <w:r>
        <w:rPr>
          <w:rFonts w:ascii="Times New Roman" w:eastAsia="Times New Roman" w:hAnsi="Times New Roman" w:cs="Times New Roman"/>
          <w:kern w:val="0"/>
          <w:sz w:val="24"/>
          <w:szCs w:val="24"/>
        </w:rPr>
        <w:t>   </w:t>
      </w:r>
      <w:r>
        <w:rPr>
          <w:sz w:val="21"/>
        </w:rPr>
        <w:t>）</w:t>
      </w:r>
    </w:p>
    <w:p w14:paraId="30DC1833">
      <w:pPr>
        <w:shd w:val="clear" w:color="auto" w:fill="auto"/>
        <w:spacing w:before="0" w:after="0" w:line="360" w:lineRule="auto"/>
        <w:ind w:left="315" w:firstLine="0"/>
        <w:jc w:val="left"/>
        <w:textAlignment w:val="center"/>
        <w:rPr>
          <w:sz w:val="21"/>
        </w:rPr>
      </w:pPr>
      <w:r>
        <w:rPr>
          <w:sz w:val="21"/>
        </w:rPr>
        <w:t>①加强蔬菜需求侧改革，由单一需求侧管理向供需两侧双向拓展</w:t>
      </w:r>
    </w:p>
    <w:p w14:paraId="61EEA15A">
      <w:pPr>
        <w:shd w:val="clear" w:color="auto" w:fill="auto"/>
        <w:spacing w:before="0" w:after="0" w:line="360" w:lineRule="auto"/>
        <w:ind w:left="315" w:firstLine="0"/>
        <w:jc w:val="left"/>
        <w:textAlignment w:val="center"/>
        <w:rPr>
          <w:sz w:val="21"/>
        </w:rPr>
      </w:pPr>
      <w:r>
        <w:rPr>
          <w:sz w:val="21"/>
        </w:rPr>
        <w:t>②搭建蔬菜信息、产品、基地等对接平台，加强产销对接服务</w:t>
      </w:r>
    </w:p>
    <w:p w14:paraId="0A75D254">
      <w:pPr>
        <w:shd w:val="clear" w:color="auto" w:fill="auto"/>
        <w:spacing w:before="0" w:after="0" w:line="360" w:lineRule="auto"/>
        <w:ind w:left="315" w:firstLine="0"/>
        <w:jc w:val="left"/>
        <w:textAlignment w:val="center"/>
        <w:rPr>
          <w:sz w:val="21"/>
        </w:rPr>
      </w:pPr>
      <w:r>
        <w:rPr>
          <w:sz w:val="21"/>
        </w:rPr>
        <w:t>③加快推进蔬菜全国统一大市场建设，满足消费者多元需求</w:t>
      </w:r>
    </w:p>
    <w:p w14:paraId="47F06454">
      <w:pPr>
        <w:shd w:val="clear" w:color="auto" w:fill="auto"/>
        <w:spacing w:before="0" w:after="0" w:line="360" w:lineRule="auto"/>
        <w:ind w:left="315" w:firstLine="0"/>
        <w:jc w:val="left"/>
        <w:textAlignment w:val="center"/>
        <w:rPr>
          <w:sz w:val="21"/>
        </w:rPr>
      </w:pPr>
      <w:r>
        <w:rPr>
          <w:sz w:val="21"/>
        </w:rPr>
        <w:t>④充分发挥产地仓储冷藏保鲜设施作用，加快耐储蔬菜冬储进度</w:t>
      </w:r>
    </w:p>
    <w:p w14:paraId="29EFF749">
      <w:pPr>
        <w:shd w:val="clear" w:color="auto" w:fill="auto"/>
        <w:tabs>
          <w:tab w:val="left" w:pos="2078"/>
          <w:tab w:val="left" w:pos="4156"/>
          <w:tab w:val="left" w:pos="6234"/>
        </w:tabs>
        <w:spacing w:before="0" w:after="0" w:line="360" w:lineRule="auto"/>
        <w:ind w:left="315" w:firstLine="0"/>
        <w:jc w:val="left"/>
        <w:textAlignment w:val="center"/>
        <w:rPr>
          <w:sz w:val="21"/>
        </w:rPr>
      </w:pPr>
      <w:r>
        <w:rPr>
          <w:sz w:val="21"/>
        </w:rPr>
        <w:t>A．①②</w:t>
      </w:r>
      <w:r>
        <w:rPr>
          <w:sz w:val="21"/>
        </w:rPr>
        <w:tab/>
      </w:r>
      <w:r>
        <w:rPr>
          <w:sz w:val="21"/>
        </w:rPr>
        <w:t>B．①③</w:t>
      </w:r>
      <w:r>
        <w:rPr>
          <w:sz w:val="21"/>
        </w:rPr>
        <w:tab/>
      </w:r>
      <w:r>
        <w:rPr>
          <w:sz w:val="21"/>
        </w:rPr>
        <w:t>C．②④</w:t>
      </w:r>
      <w:r>
        <w:rPr>
          <w:sz w:val="21"/>
        </w:rPr>
        <w:tab/>
      </w:r>
      <w:r>
        <w:rPr>
          <w:sz w:val="21"/>
        </w:rPr>
        <w:t>D．③④</w:t>
      </w:r>
    </w:p>
    <w:p w14:paraId="063DA3D9">
      <w:pPr>
        <w:shd w:val="clear" w:color="auto" w:fill="auto"/>
        <w:spacing w:before="0" w:after="0" w:line="360" w:lineRule="auto"/>
        <w:ind w:left="315" w:hanging="315"/>
        <w:jc w:val="left"/>
        <w:textAlignment w:val="center"/>
        <w:rPr>
          <w:sz w:val="21"/>
        </w:rPr>
      </w:pPr>
      <w:r>
        <w:rPr>
          <w:sz w:val="21"/>
        </w:rPr>
        <w:t>7．</w:t>
      </w:r>
      <w:r>
        <w:rPr>
          <w:rFonts w:ascii="黑体" w:eastAsia="黑体" w:hAnsi="黑体" w:cs="黑体" w:hint="eastAsia"/>
          <w:color w:val="C00000"/>
          <w:sz w:val="24"/>
          <w:szCs w:val="24"/>
          <w:highlight w:val="yellow"/>
          <w:lang w:eastAsia="zh-CN"/>
        </w:rPr>
        <w:t>（</w:t>
      </w:r>
      <w:r>
        <w:rPr>
          <w:rFonts w:ascii="黑体" w:eastAsia="黑体" w:hAnsi="黑体" w:cs="黑体" w:hint="eastAsia"/>
          <w:color w:val="C00000"/>
          <w:sz w:val="24"/>
          <w:szCs w:val="24"/>
          <w:highlight w:val="yellow"/>
          <w:lang w:val="en-US" w:eastAsia="zh-CN"/>
        </w:rPr>
        <w:t>改编题</w:t>
      </w:r>
      <w:r>
        <w:rPr>
          <w:rFonts w:ascii="黑体" w:eastAsia="黑体" w:hAnsi="黑体" w:cs="黑体" w:hint="eastAsia"/>
          <w:color w:val="C00000"/>
          <w:sz w:val="24"/>
          <w:szCs w:val="24"/>
          <w:highlight w:val="yellow"/>
          <w:lang w:eastAsia="zh-CN"/>
        </w:rPr>
        <w:t>）</w:t>
      </w:r>
      <w:r>
        <w:rPr>
          <w:sz w:val="21"/>
        </w:rPr>
        <w:t>2025年，我国持续加大对小微企业的扶持力度。《民营经济促进法》进入二审，解决拖欠账款问题，降低民企维权成本。这是因为小微企业（</w:t>
      </w:r>
      <w:r>
        <w:rPr>
          <w:rFonts w:ascii="Times New Roman" w:eastAsia="Times New Roman" w:hAnsi="Times New Roman" w:cs="Times New Roman"/>
          <w:kern w:val="0"/>
          <w:sz w:val="24"/>
          <w:szCs w:val="24"/>
        </w:rPr>
        <w:t>   </w:t>
      </w:r>
      <w:r>
        <w:rPr>
          <w:sz w:val="21"/>
        </w:rPr>
        <w:t>）</w:t>
      </w:r>
    </w:p>
    <w:p w14:paraId="450A4CDC">
      <w:pPr>
        <w:shd w:val="clear" w:color="auto" w:fill="auto"/>
        <w:spacing w:before="0" w:after="0" w:line="360" w:lineRule="auto"/>
        <w:ind w:left="315" w:firstLine="0"/>
        <w:jc w:val="left"/>
        <w:textAlignment w:val="center"/>
        <w:rPr>
          <w:sz w:val="21"/>
        </w:rPr>
      </w:pPr>
      <w:r>
        <w:rPr>
          <w:sz w:val="21"/>
        </w:rPr>
        <w:t>①是社会主义市场经济的重要组成部分</w:t>
      </w:r>
    </w:p>
    <w:p w14:paraId="7DC0855D">
      <w:pPr>
        <w:shd w:val="clear" w:color="auto" w:fill="auto"/>
        <w:spacing w:before="0" w:after="0" w:line="360" w:lineRule="auto"/>
        <w:ind w:left="315" w:firstLine="0"/>
        <w:jc w:val="left"/>
        <w:textAlignment w:val="center"/>
        <w:rPr>
          <w:sz w:val="21"/>
        </w:rPr>
      </w:pPr>
      <w:r>
        <w:rPr>
          <w:sz w:val="21"/>
        </w:rPr>
        <w:t>②在稳定经济增长、促进创新、增加就业等方面发挥着重要作用</w:t>
      </w:r>
    </w:p>
    <w:p w14:paraId="39DFE721">
      <w:pPr>
        <w:shd w:val="clear" w:color="auto" w:fill="auto"/>
        <w:spacing w:before="0" w:after="0" w:line="360" w:lineRule="auto"/>
        <w:ind w:left="315" w:firstLine="0"/>
        <w:jc w:val="left"/>
        <w:textAlignment w:val="center"/>
        <w:rPr>
          <w:sz w:val="21"/>
        </w:rPr>
      </w:pPr>
      <w:r>
        <w:rPr>
          <w:sz w:val="21"/>
        </w:rPr>
        <w:t>③是我国经济制度的基础</w:t>
      </w:r>
    </w:p>
    <w:p w14:paraId="26A024FF">
      <w:pPr>
        <w:shd w:val="clear" w:color="auto" w:fill="auto"/>
        <w:spacing w:before="0" w:after="0" w:line="360" w:lineRule="auto"/>
        <w:ind w:left="315" w:firstLine="0"/>
        <w:jc w:val="left"/>
        <w:textAlignment w:val="center"/>
        <w:rPr>
          <w:sz w:val="21"/>
        </w:rPr>
      </w:pPr>
      <w:r>
        <w:rPr>
          <w:sz w:val="21"/>
        </w:rPr>
        <w:t>④控制着国民经济命脉，对经济发展起主导作用</w:t>
      </w:r>
    </w:p>
    <w:p w14:paraId="35D5FBE9">
      <w:pPr>
        <w:shd w:val="clear" w:color="auto" w:fill="auto"/>
        <w:tabs>
          <w:tab w:val="left" w:pos="2078"/>
          <w:tab w:val="left" w:pos="4156"/>
          <w:tab w:val="left" w:pos="6234"/>
        </w:tabs>
        <w:spacing w:before="0" w:after="0" w:line="360" w:lineRule="auto"/>
        <w:ind w:left="315" w:firstLine="0"/>
        <w:jc w:val="left"/>
        <w:textAlignment w:val="center"/>
        <w:rPr>
          <w:sz w:val="21"/>
        </w:rPr>
      </w:pPr>
      <w:r>
        <w:rPr>
          <w:sz w:val="21"/>
        </w:rPr>
        <w:t>A．①②</w:t>
      </w:r>
      <w:r>
        <w:rPr>
          <w:sz w:val="21"/>
        </w:rPr>
        <w:tab/>
      </w:r>
      <w:r>
        <w:rPr>
          <w:sz w:val="21"/>
        </w:rPr>
        <w:t>B．①④</w:t>
      </w:r>
      <w:r>
        <w:rPr>
          <w:sz w:val="21"/>
        </w:rPr>
        <w:tab/>
      </w:r>
      <w:r>
        <w:rPr>
          <w:sz w:val="21"/>
        </w:rPr>
        <w:t>C．②③</w:t>
      </w:r>
      <w:r>
        <w:rPr>
          <w:sz w:val="21"/>
        </w:rPr>
        <w:tab/>
      </w:r>
      <w:r>
        <w:rPr>
          <w:sz w:val="21"/>
        </w:rPr>
        <w:t>D．③④</w:t>
      </w:r>
    </w:p>
    <w:p w14:paraId="0E9D709C">
      <w:pPr>
        <w:shd w:val="clear" w:color="auto" w:fill="auto"/>
        <w:spacing w:before="0" w:after="0" w:line="360" w:lineRule="auto"/>
        <w:ind w:left="315" w:hanging="315"/>
        <w:jc w:val="left"/>
        <w:textAlignment w:val="center"/>
        <w:rPr>
          <w:sz w:val="21"/>
        </w:rPr>
      </w:pPr>
      <w:r>
        <w:rPr>
          <w:sz w:val="21"/>
        </w:rPr>
        <w:t>8．党的二十届三中全会审议通过了《中共中央关于进一步全面深化改革、推进中国式现代化的决定》（以下简称《决定》）。《决定》对巩固和完善农村基本经营制度作出了具体部署，强调有序推进第二轮土地承包到期后再延长三十年试点，深化承包地所有权、承包权、经营权“三权分置”改革，发展农业适度规模经营。此举将对我国农村经济社会发展产生重大影响，关于其传导路径，正确的是（</w:t>
      </w:r>
      <w:r>
        <w:rPr>
          <w:rFonts w:ascii="Times New Roman" w:eastAsia="Times New Roman" w:hAnsi="Times New Roman" w:cs="Times New Roman"/>
          <w:kern w:val="0"/>
          <w:sz w:val="24"/>
          <w:szCs w:val="24"/>
        </w:rPr>
        <w:t>   </w:t>
      </w:r>
      <w:r>
        <w:rPr>
          <w:sz w:val="21"/>
        </w:rPr>
        <w:t>）</w:t>
      </w:r>
    </w:p>
    <w:p w14:paraId="5E6D0B88">
      <w:pPr>
        <w:shd w:val="clear" w:color="auto" w:fill="auto"/>
        <w:spacing w:before="0" w:after="0" w:line="360" w:lineRule="auto"/>
        <w:ind w:left="315" w:firstLine="0"/>
        <w:jc w:val="left"/>
        <w:textAlignment w:val="center"/>
        <w:rPr>
          <w:sz w:val="21"/>
        </w:rPr>
      </w:pPr>
      <w:r>
        <w:rPr>
          <w:sz w:val="21"/>
        </w:rPr>
        <w:t>①引导土地经营权有序流转→释放土地要素红利→激活乡村振兴动能</w:t>
      </w:r>
    </w:p>
    <w:p w14:paraId="7ECFDB03">
      <w:pPr>
        <w:shd w:val="clear" w:color="auto" w:fill="auto"/>
        <w:spacing w:before="0" w:after="0" w:line="360" w:lineRule="auto"/>
        <w:ind w:left="315" w:firstLine="0"/>
        <w:jc w:val="left"/>
        <w:textAlignment w:val="center"/>
        <w:rPr>
          <w:sz w:val="21"/>
        </w:rPr>
      </w:pPr>
      <w:r>
        <w:rPr>
          <w:sz w:val="21"/>
        </w:rPr>
        <w:t>②稳定土地承包关系→化解农村土地承包中的人地矛盾→实现城乡融合发展</w:t>
      </w:r>
    </w:p>
    <w:p w14:paraId="1068DEE5">
      <w:pPr>
        <w:shd w:val="clear" w:color="auto" w:fill="auto"/>
        <w:spacing w:before="0" w:after="0" w:line="360" w:lineRule="auto"/>
        <w:ind w:left="315" w:firstLine="0"/>
        <w:jc w:val="left"/>
        <w:textAlignment w:val="center"/>
        <w:rPr>
          <w:sz w:val="21"/>
        </w:rPr>
      </w:pPr>
      <w:r>
        <w:rPr>
          <w:sz w:val="21"/>
        </w:rPr>
        <w:t>③依法自愿有偿流转土地经营权→健全农业社会化服务体系→增加农民财产性收入</w:t>
      </w:r>
    </w:p>
    <w:p w14:paraId="087CF65C">
      <w:pPr>
        <w:shd w:val="clear" w:color="auto" w:fill="auto"/>
        <w:spacing w:before="0" w:after="0" w:line="360" w:lineRule="auto"/>
        <w:ind w:left="315" w:firstLine="0"/>
        <w:jc w:val="left"/>
        <w:textAlignment w:val="center"/>
        <w:rPr>
          <w:sz w:val="21"/>
        </w:rPr>
      </w:pPr>
      <w:r>
        <w:rPr>
          <w:sz w:val="21"/>
        </w:rPr>
        <w:t>④坚持有效市场和有为政府结合→盘活农村土地资源→发展壮大集体经济</w:t>
      </w:r>
    </w:p>
    <w:p w14:paraId="0AFFD105">
      <w:pPr>
        <w:shd w:val="clear" w:color="auto" w:fill="auto"/>
        <w:tabs>
          <w:tab w:val="left" w:pos="2078"/>
          <w:tab w:val="left" w:pos="4156"/>
          <w:tab w:val="left" w:pos="6234"/>
        </w:tabs>
        <w:spacing w:before="0" w:after="0" w:line="360" w:lineRule="auto"/>
        <w:ind w:left="315" w:firstLine="0"/>
        <w:jc w:val="left"/>
        <w:textAlignment w:val="center"/>
        <w:rPr>
          <w:sz w:val="21"/>
        </w:rPr>
      </w:pPr>
      <w:r>
        <w:rPr>
          <w:sz w:val="21"/>
        </w:rPr>
        <w:t>A．①②</w:t>
      </w:r>
      <w:r>
        <w:rPr>
          <w:sz w:val="21"/>
        </w:rPr>
        <w:tab/>
      </w:r>
      <w:r>
        <w:rPr>
          <w:sz w:val="21"/>
        </w:rPr>
        <w:t>B．①④</w:t>
      </w:r>
      <w:r>
        <w:rPr>
          <w:sz w:val="21"/>
        </w:rPr>
        <w:tab/>
      </w:r>
      <w:r>
        <w:rPr>
          <w:sz w:val="21"/>
        </w:rPr>
        <w:t>C．②③</w:t>
      </w:r>
      <w:r>
        <w:rPr>
          <w:sz w:val="21"/>
        </w:rPr>
        <w:tab/>
      </w:r>
      <w:r>
        <w:rPr>
          <w:sz w:val="21"/>
        </w:rPr>
        <w:t>D．③④</w:t>
      </w:r>
    </w:p>
    <w:p w14:paraId="38082259">
      <w:pPr>
        <w:shd w:val="clear" w:color="auto" w:fill="auto"/>
        <w:spacing w:before="0" w:after="0" w:line="360" w:lineRule="auto"/>
        <w:ind w:left="315" w:hanging="315"/>
        <w:jc w:val="left"/>
        <w:textAlignment w:val="center"/>
        <w:rPr>
          <w:sz w:val="21"/>
        </w:rPr>
      </w:pPr>
      <w:r>
        <w:rPr>
          <w:sz w:val="21"/>
        </w:rPr>
        <w:t>9．20世纪上半叶，在中国的出路、前途和命运问题上，各种政治力量分别提出自己的方案，进行了异常激烈的较量。最终，中国共产党的方案在历史和人民的检验中脱颖而出，最终成为唯一正确的选择。</w:t>
      </w:r>
    </w:p>
    <w:p w14:paraId="362B868A">
      <w:pPr>
        <w:shd w:val="clear" w:color="auto" w:fill="auto"/>
        <w:spacing w:before="0" w:after="0" w:line="360" w:lineRule="auto"/>
        <w:ind w:left="315" w:firstLine="0"/>
        <w:jc w:val="center"/>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4757420" cy="1721485"/>
            <wp:effectExtent l="0" t="0" r="5080" b="12065"/>
            <wp:docPr id="100005" name="图片 100005"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
                    <pic:cNvPicPr>
                      <a:picLocks noChangeAspect="1"/>
                    </pic:cNvPicPr>
                  </pic:nvPicPr>
                  <pic:blipFill>
                    <a:blip xmlns:r="http://schemas.openxmlformats.org/officeDocument/2006/relationships" r:embed="rId7"/>
                    <a:stretch>
                      <a:fillRect/>
                    </a:stretch>
                  </pic:blipFill>
                  <pic:spPr>
                    <a:xfrm>
                      <a:off x="0" y="0"/>
                      <a:ext cx="4757420" cy="1721485"/>
                    </a:xfrm>
                    <a:prstGeom prst="rect">
                      <a:avLst/>
                    </a:prstGeom>
                  </pic:spPr>
                </pic:pic>
              </a:graphicData>
            </a:graphic>
          </wp:inline>
        </w:drawing>
      </w:r>
    </w:p>
    <w:p w14:paraId="094A857A">
      <w:pPr>
        <w:shd w:val="clear" w:color="auto" w:fill="auto"/>
        <w:spacing w:before="0" w:after="0" w:line="360" w:lineRule="auto"/>
        <w:ind w:left="315" w:firstLine="0"/>
        <w:jc w:val="left"/>
        <w:textAlignment w:val="center"/>
        <w:rPr>
          <w:sz w:val="21"/>
        </w:rPr>
      </w:pPr>
      <w:r>
        <w:rPr>
          <w:sz w:val="21"/>
        </w:rPr>
        <w:t>其中的原因是（</w:t>
      </w:r>
      <w:r>
        <w:rPr>
          <w:rFonts w:ascii="Times New Roman" w:eastAsia="Times New Roman" w:hAnsi="Times New Roman" w:cs="Times New Roman"/>
          <w:kern w:val="0"/>
          <w:sz w:val="24"/>
          <w:szCs w:val="24"/>
        </w:rPr>
        <w:t>   </w:t>
      </w:r>
      <w:r>
        <w:rPr>
          <w:sz w:val="21"/>
        </w:rPr>
        <w:t>）</w:t>
      </w:r>
    </w:p>
    <w:p w14:paraId="55DBC124">
      <w:pPr>
        <w:shd w:val="clear" w:color="auto" w:fill="auto"/>
        <w:spacing w:before="0" w:after="0" w:line="360" w:lineRule="auto"/>
        <w:ind w:left="315" w:firstLine="0"/>
        <w:jc w:val="left"/>
        <w:textAlignment w:val="center"/>
        <w:rPr>
          <w:sz w:val="21"/>
        </w:rPr>
      </w:pPr>
      <w:r>
        <w:rPr>
          <w:sz w:val="21"/>
        </w:rPr>
        <w:t>①中国共产党代表最广大人民群众的根本利益</w:t>
      </w:r>
    </w:p>
    <w:p w14:paraId="1EC90104">
      <w:pPr>
        <w:shd w:val="clear" w:color="auto" w:fill="auto"/>
        <w:spacing w:before="0" w:after="0" w:line="360" w:lineRule="auto"/>
        <w:ind w:left="315" w:firstLine="0"/>
        <w:jc w:val="left"/>
        <w:textAlignment w:val="center"/>
        <w:rPr>
          <w:sz w:val="21"/>
        </w:rPr>
      </w:pPr>
      <w:r>
        <w:rPr>
          <w:sz w:val="21"/>
        </w:rPr>
        <w:t>②社会主义革命是新民主主义革命的必然趋势</w:t>
      </w:r>
    </w:p>
    <w:p w14:paraId="2AB05248">
      <w:pPr>
        <w:shd w:val="clear" w:color="auto" w:fill="auto"/>
        <w:spacing w:before="0" w:after="0" w:line="360" w:lineRule="auto"/>
        <w:ind w:left="315" w:firstLine="0"/>
        <w:jc w:val="left"/>
        <w:textAlignment w:val="center"/>
        <w:rPr>
          <w:sz w:val="21"/>
        </w:rPr>
      </w:pPr>
      <w:r>
        <w:rPr>
          <w:sz w:val="21"/>
        </w:rPr>
        <w:t>③中国共产党执政是历史的必然和人民的选择</w:t>
      </w:r>
    </w:p>
    <w:p w14:paraId="4843BAF7">
      <w:pPr>
        <w:shd w:val="clear" w:color="auto" w:fill="auto"/>
        <w:spacing w:before="0" w:after="0" w:line="360" w:lineRule="auto"/>
        <w:ind w:left="315" w:firstLine="0"/>
        <w:jc w:val="left"/>
        <w:textAlignment w:val="center"/>
        <w:rPr>
          <w:sz w:val="21"/>
        </w:rPr>
      </w:pPr>
      <w:r>
        <w:rPr>
          <w:sz w:val="21"/>
        </w:rPr>
        <w:t>④中国共产党的方案符合中国实际，反映中国人民意愿</w:t>
      </w:r>
    </w:p>
    <w:p w14:paraId="1BAC24F6">
      <w:pPr>
        <w:shd w:val="clear" w:color="auto" w:fill="auto"/>
        <w:tabs>
          <w:tab w:val="left" w:pos="2078"/>
          <w:tab w:val="left" w:pos="4156"/>
          <w:tab w:val="left" w:pos="6234"/>
        </w:tabs>
        <w:spacing w:before="0" w:after="0" w:line="360" w:lineRule="auto"/>
        <w:ind w:left="315" w:firstLine="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712715B1">
      <w:pPr>
        <w:shd w:val="clear" w:color="auto" w:fill="auto"/>
        <w:spacing w:before="0" w:after="0" w:line="360" w:lineRule="auto"/>
        <w:ind w:left="420" w:hanging="420"/>
        <w:jc w:val="left"/>
        <w:textAlignment w:val="center"/>
        <w:rPr>
          <w:sz w:val="21"/>
        </w:rPr>
      </w:pPr>
      <w:r>
        <w:rPr>
          <w:sz w:val="21"/>
        </w:rPr>
        <w:t>10．2025年1月20日，中共中央政治局常委、国务院总理李强主持召开专家、企业家和教科文卫体等领域代表座谈会，听取对《政府工作报告（征求意见稿）》的意见建议。李强希望大家积极反映社情民意，提出更多政策建议，为推进中国式现代化贡献智慧和力量。这表明（</w:t>
      </w:r>
      <w:r>
        <w:rPr>
          <w:rFonts w:ascii="Times New Roman" w:eastAsia="Times New Roman" w:hAnsi="Times New Roman" w:cs="Times New Roman"/>
          <w:kern w:val="0"/>
          <w:sz w:val="24"/>
          <w:szCs w:val="24"/>
        </w:rPr>
        <w:t>   </w:t>
      </w:r>
      <w:r>
        <w:rPr>
          <w:sz w:val="21"/>
        </w:rPr>
        <w:t>）</w:t>
      </w:r>
    </w:p>
    <w:p w14:paraId="1FC57F52">
      <w:pPr>
        <w:shd w:val="clear" w:color="auto" w:fill="auto"/>
        <w:spacing w:before="0" w:after="0" w:line="360" w:lineRule="auto"/>
        <w:ind w:left="420" w:firstLine="0"/>
        <w:jc w:val="left"/>
        <w:textAlignment w:val="center"/>
        <w:rPr>
          <w:sz w:val="21"/>
        </w:rPr>
      </w:pPr>
      <w:r>
        <w:rPr>
          <w:sz w:val="21"/>
        </w:rPr>
        <w:t>①协商民主是全过程人民民主的生动实践</w:t>
      </w:r>
    </w:p>
    <w:p w14:paraId="297930BA">
      <w:pPr>
        <w:shd w:val="clear" w:color="auto" w:fill="auto"/>
        <w:spacing w:before="0" w:after="0" w:line="360" w:lineRule="auto"/>
        <w:ind w:left="420" w:firstLine="0"/>
        <w:jc w:val="left"/>
        <w:textAlignment w:val="center"/>
        <w:rPr>
          <w:sz w:val="21"/>
        </w:rPr>
      </w:pPr>
      <w:r>
        <w:rPr>
          <w:sz w:val="21"/>
        </w:rPr>
        <w:t>②协商民主有利于不断推进中国式现代化</w:t>
      </w:r>
    </w:p>
    <w:p w14:paraId="12EC0E75">
      <w:pPr>
        <w:shd w:val="clear" w:color="auto" w:fill="auto"/>
        <w:spacing w:before="0" w:after="0" w:line="360" w:lineRule="auto"/>
        <w:ind w:left="420" w:firstLine="0"/>
        <w:jc w:val="left"/>
        <w:textAlignment w:val="center"/>
        <w:rPr>
          <w:sz w:val="21"/>
        </w:rPr>
      </w:pPr>
      <w:r>
        <w:rPr>
          <w:sz w:val="21"/>
        </w:rPr>
        <w:t>③人民当家作主是社会主义民主政治的本质属性</w:t>
      </w:r>
    </w:p>
    <w:p w14:paraId="47D03BD1">
      <w:pPr>
        <w:shd w:val="clear" w:color="auto" w:fill="auto"/>
        <w:spacing w:before="0" w:after="0" w:line="360" w:lineRule="auto"/>
        <w:ind w:left="420" w:firstLine="0"/>
        <w:jc w:val="left"/>
        <w:textAlignment w:val="center"/>
        <w:rPr>
          <w:sz w:val="21"/>
        </w:rPr>
      </w:pPr>
      <w:r>
        <w:rPr>
          <w:sz w:val="21"/>
        </w:rPr>
        <w:t>④协商民主是中国特色社会主义制度的最大优势</w:t>
      </w:r>
    </w:p>
    <w:p w14:paraId="3F032B15">
      <w:pPr>
        <w:shd w:val="clear" w:color="auto" w:fill="auto"/>
        <w:tabs>
          <w:tab w:val="left" w:pos="2078"/>
          <w:tab w:val="left" w:pos="4156"/>
          <w:tab w:val="left" w:pos="6234"/>
        </w:tabs>
        <w:spacing w:before="0" w:after="0" w:line="360" w:lineRule="auto"/>
        <w:ind w:left="420" w:firstLine="0"/>
        <w:jc w:val="left"/>
        <w:textAlignment w:val="center"/>
        <w:rPr>
          <w:sz w:val="21"/>
        </w:rPr>
      </w:pPr>
      <w:r>
        <w:rPr>
          <w:sz w:val="21"/>
        </w:rPr>
        <w:t>A．①②</w:t>
      </w:r>
      <w:r>
        <w:rPr>
          <w:sz w:val="21"/>
        </w:rPr>
        <w:tab/>
      </w:r>
      <w:r>
        <w:rPr>
          <w:sz w:val="21"/>
        </w:rPr>
        <w:t>B．①③</w:t>
      </w:r>
      <w:r>
        <w:rPr>
          <w:sz w:val="21"/>
        </w:rPr>
        <w:tab/>
      </w:r>
      <w:r>
        <w:rPr>
          <w:sz w:val="21"/>
        </w:rPr>
        <w:t>C．②④</w:t>
      </w:r>
      <w:r>
        <w:rPr>
          <w:sz w:val="21"/>
        </w:rPr>
        <w:tab/>
      </w:r>
      <w:r>
        <w:rPr>
          <w:sz w:val="21"/>
        </w:rPr>
        <w:t>D．③④</w:t>
      </w:r>
    </w:p>
    <w:p w14:paraId="53F30D0A">
      <w:pPr>
        <w:shd w:val="clear" w:color="auto" w:fill="auto"/>
        <w:spacing w:before="0" w:after="0" w:line="360" w:lineRule="auto"/>
        <w:ind w:left="420" w:hanging="420"/>
        <w:jc w:val="left"/>
        <w:textAlignment w:val="center"/>
        <w:rPr>
          <w:sz w:val="21"/>
        </w:rPr>
      </w:pPr>
      <w:r>
        <w:rPr>
          <w:sz w:val="21"/>
        </w:rPr>
        <w:t>11．最高人民检察院启动“检察实务专家进校园”活动一年多以来，在北京大学、清华大学、中国政法大学、华东政法大学等21所高校开讲检察实务课程220次，覆盖学生2.2万余人次。在一堂堂充满鲜活案例的课堂中，学生们感受司法实践温度，读懂法治中国。最高检这一创新举措将会（</w:t>
      </w:r>
      <w:r>
        <w:rPr>
          <w:rFonts w:ascii="Times New Roman" w:eastAsia="Times New Roman" w:hAnsi="Times New Roman" w:cs="Times New Roman"/>
          <w:kern w:val="0"/>
          <w:sz w:val="24"/>
          <w:szCs w:val="24"/>
        </w:rPr>
        <w:t>   </w:t>
      </w:r>
      <w:r>
        <w:rPr>
          <w:sz w:val="21"/>
        </w:rPr>
        <w:t>）</w:t>
      </w:r>
    </w:p>
    <w:p w14:paraId="1807C2B3">
      <w:pPr>
        <w:shd w:val="clear" w:color="auto" w:fill="auto"/>
        <w:spacing w:before="0" w:after="0" w:line="360" w:lineRule="auto"/>
        <w:ind w:left="420" w:firstLine="0"/>
        <w:jc w:val="left"/>
        <w:textAlignment w:val="center"/>
        <w:rPr>
          <w:sz w:val="21"/>
        </w:rPr>
      </w:pPr>
      <w:r>
        <w:rPr>
          <w:sz w:val="21"/>
        </w:rPr>
        <w:t>①不断完善法律实施机制，以公正司法助推法治国家建设</w:t>
      </w:r>
    </w:p>
    <w:p w14:paraId="74E8AAAD">
      <w:pPr>
        <w:shd w:val="clear" w:color="auto" w:fill="auto"/>
        <w:spacing w:before="0" w:after="0" w:line="360" w:lineRule="auto"/>
        <w:ind w:left="420" w:firstLine="0"/>
        <w:jc w:val="left"/>
        <w:textAlignment w:val="center"/>
        <w:rPr>
          <w:sz w:val="21"/>
        </w:rPr>
      </w:pPr>
      <w:r>
        <w:rPr>
          <w:sz w:val="21"/>
        </w:rPr>
        <w:t>②促进检校合作，有效打通法学理论与司法实务间的壁垒</w:t>
      </w:r>
    </w:p>
    <w:p w14:paraId="24384A68">
      <w:pPr>
        <w:shd w:val="clear" w:color="auto" w:fill="auto"/>
        <w:spacing w:before="0" w:after="0" w:line="360" w:lineRule="auto"/>
        <w:ind w:left="420" w:firstLine="0"/>
        <w:jc w:val="left"/>
        <w:textAlignment w:val="center"/>
        <w:rPr>
          <w:sz w:val="21"/>
        </w:rPr>
      </w:pPr>
      <w:r>
        <w:rPr>
          <w:sz w:val="21"/>
        </w:rPr>
        <w:t>③通过最前沿法治实践和鲜活法治案例增强全民法治观念</w:t>
      </w:r>
    </w:p>
    <w:p w14:paraId="6941C455">
      <w:pPr>
        <w:shd w:val="clear" w:color="auto" w:fill="auto"/>
        <w:spacing w:before="0" w:after="0" w:line="360" w:lineRule="auto"/>
        <w:ind w:left="420" w:firstLine="0"/>
        <w:jc w:val="left"/>
        <w:textAlignment w:val="center"/>
        <w:rPr>
          <w:sz w:val="21"/>
        </w:rPr>
      </w:pPr>
      <w:r>
        <w:rPr>
          <w:sz w:val="21"/>
        </w:rPr>
        <w:t>④助推法学理论研究、法治人才培养与检察业务发展共赢</w:t>
      </w:r>
    </w:p>
    <w:p w14:paraId="55EB30FC">
      <w:pPr>
        <w:shd w:val="clear" w:color="auto" w:fill="auto"/>
        <w:tabs>
          <w:tab w:val="left" w:pos="2078"/>
          <w:tab w:val="left" w:pos="4156"/>
          <w:tab w:val="left" w:pos="6234"/>
        </w:tabs>
        <w:spacing w:before="0" w:after="0" w:line="360" w:lineRule="auto"/>
        <w:ind w:left="420" w:firstLine="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1BB5E774">
      <w:pPr>
        <w:shd w:val="clear" w:color="auto" w:fill="auto"/>
        <w:spacing w:before="0" w:after="0" w:line="360" w:lineRule="auto"/>
        <w:ind w:left="420" w:hanging="420"/>
        <w:jc w:val="left"/>
        <w:textAlignment w:val="center"/>
        <w:rPr>
          <w:sz w:val="21"/>
        </w:rPr>
      </w:pPr>
      <w:r>
        <w:rPr>
          <w:sz w:val="21"/>
        </w:rPr>
        <w:t>12．2025年2月，广西全面启动交通运输行政执法案件“码上监督”工作。行政执法案件“码上监督”工作实施范围包括通过广西交通运输综合执法系统作出的所有行政处罚决定文书。按照标准化的数据格式，每一份行政处罚决定文书会生成专属二维码。案件当事人可扫描该二维码查看并提出意见建议。“码上监督”旨在（</w:t>
      </w:r>
      <w:r>
        <w:rPr>
          <w:rFonts w:ascii="Times New Roman" w:eastAsia="Times New Roman" w:hAnsi="Times New Roman" w:cs="Times New Roman"/>
          <w:kern w:val="0"/>
          <w:sz w:val="24"/>
          <w:szCs w:val="24"/>
        </w:rPr>
        <w:t>   </w:t>
      </w:r>
      <w:r>
        <w:rPr>
          <w:sz w:val="21"/>
        </w:rPr>
        <w:t>）</w:t>
      </w:r>
    </w:p>
    <w:p w14:paraId="700DD9F2">
      <w:pPr>
        <w:shd w:val="clear" w:color="auto" w:fill="auto"/>
        <w:spacing w:before="0" w:after="0" w:line="360" w:lineRule="auto"/>
        <w:ind w:left="420" w:firstLine="0"/>
        <w:jc w:val="left"/>
        <w:textAlignment w:val="center"/>
        <w:rPr>
          <w:sz w:val="21"/>
        </w:rPr>
      </w:pPr>
      <w:r>
        <w:rPr>
          <w:sz w:val="21"/>
        </w:rPr>
        <w:t>①让权力在阳光下运行，加快打造法治政府</w:t>
      </w:r>
    </w:p>
    <w:p w14:paraId="522A427F">
      <w:pPr>
        <w:shd w:val="clear" w:color="auto" w:fill="auto"/>
        <w:spacing w:before="0" w:after="0" w:line="360" w:lineRule="auto"/>
        <w:ind w:left="420" w:firstLine="0"/>
        <w:jc w:val="left"/>
        <w:textAlignment w:val="center"/>
        <w:rPr>
          <w:sz w:val="21"/>
        </w:rPr>
      </w:pPr>
      <w:r>
        <w:rPr>
          <w:sz w:val="21"/>
        </w:rPr>
        <w:t>②科学配置政府职能，营造法治化营商环境</w:t>
      </w:r>
    </w:p>
    <w:p w14:paraId="799E8EE0">
      <w:pPr>
        <w:shd w:val="clear" w:color="auto" w:fill="auto"/>
        <w:spacing w:before="0" w:after="0" w:line="360" w:lineRule="auto"/>
        <w:ind w:left="420" w:firstLine="0"/>
        <w:jc w:val="left"/>
        <w:textAlignment w:val="center"/>
        <w:rPr>
          <w:sz w:val="21"/>
        </w:rPr>
      </w:pPr>
      <w:r>
        <w:rPr>
          <w:sz w:val="21"/>
        </w:rPr>
        <w:t>③规范执法行为，推进行政机关严格公正执法</w:t>
      </w:r>
    </w:p>
    <w:p w14:paraId="42ED6AF6">
      <w:pPr>
        <w:shd w:val="clear" w:color="auto" w:fill="auto"/>
        <w:spacing w:before="0" w:after="0" w:line="360" w:lineRule="auto"/>
        <w:ind w:left="420" w:firstLine="0"/>
        <w:jc w:val="left"/>
        <w:textAlignment w:val="center"/>
        <w:rPr>
          <w:sz w:val="21"/>
        </w:rPr>
      </w:pPr>
      <w:r>
        <w:rPr>
          <w:sz w:val="21"/>
        </w:rPr>
        <w:t>④完善行政执法程序，增强行政执法的权威</w:t>
      </w:r>
    </w:p>
    <w:p w14:paraId="249F2577">
      <w:pPr>
        <w:shd w:val="clear" w:color="auto" w:fill="auto"/>
        <w:tabs>
          <w:tab w:val="left" w:pos="2078"/>
          <w:tab w:val="left" w:pos="4156"/>
          <w:tab w:val="left" w:pos="6234"/>
        </w:tabs>
        <w:spacing w:before="0" w:after="0" w:line="360" w:lineRule="auto"/>
        <w:ind w:left="420" w:firstLine="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0FF434D5">
      <w:pPr>
        <w:shd w:val="clear" w:color="auto" w:fill="auto"/>
        <w:spacing w:before="0" w:after="0" w:line="360" w:lineRule="auto"/>
        <w:ind w:left="420" w:hanging="420"/>
        <w:jc w:val="left"/>
        <w:textAlignment w:val="center"/>
        <w:rPr>
          <w:sz w:val="21"/>
        </w:rPr>
      </w:pPr>
      <w:r>
        <w:rPr>
          <w:sz w:val="21"/>
        </w:rPr>
        <w:t>13．作为继互联网后新一代“通用目的技术”，人工智能的影响可能遍及整个经济社会，创造出众多新兴业态。但许多业内专家认为，目前的人工智能从机理上还不存在向通用人工智能转化的可能性，人工智能大规模商业化应用仍将是一个长期而曲折的过程。这一认识体现的辩证法道理有（</w:t>
      </w:r>
      <w:r>
        <w:rPr>
          <w:rFonts w:ascii="Times New Roman" w:eastAsia="Times New Roman" w:hAnsi="Times New Roman" w:cs="Times New Roman"/>
          <w:kern w:val="0"/>
          <w:sz w:val="24"/>
          <w:szCs w:val="24"/>
        </w:rPr>
        <w:t>   </w:t>
      </w:r>
      <w:r>
        <w:rPr>
          <w:sz w:val="21"/>
        </w:rPr>
        <w:t>）</w:t>
      </w:r>
    </w:p>
    <w:p w14:paraId="275AAA17">
      <w:pPr>
        <w:shd w:val="clear" w:color="auto" w:fill="auto"/>
        <w:spacing w:before="0" w:after="0" w:line="360" w:lineRule="auto"/>
        <w:ind w:left="420" w:firstLine="0"/>
        <w:jc w:val="left"/>
        <w:textAlignment w:val="center"/>
        <w:rPr>
          <w:sz w:val="21"/>
        </w:rPr>
      </w:pPr>
      <w:r>
        <w:rPr>
          <w:sz w:val="21"/>
        </w:rPr>
        <w:t>①联系构成了事物的运动变化和发展</w:t>
      </w:r>
    </w:p>
    <w:p w14:paraId="4B0D0371">
      <w:pPr>
        <w:shd w:val="clear" w:color="auto" w:fill="auto"/>
        <w:spacing w:before="0" w:after="0" w:line="360" w:lineRule="auto"/>
        <w:ind w:left="420" w:firstLine="0"/>
        <w:jc w:val="left"/>
        <w:textAlignment w:val="center"/>
        <w:rPr>
          <w:sz w:val="21"/>
        </w:rPr>
      </w:pPr>
      <w:r>
        <w:rPr>
          <w:sz w:val="21"/>
        </w:rPr>
        <w:t>②我们要充分认识和利用规律，造福人类</w:t>
      </w:r>
    </w:p>
    <w:p w14:paraId="4DAE560F">
      <w:pPr>
        <w:shd w:val="clear" w:color="auto" w:fill="auto"/>
        <w:spacing w:before="0" w:after="0" w:line="360" w:lineRule="auto"/>
        <w:ind w:left="420" w:firstLine="0"/>
        <w:jc w:val="left"/>
        <w:textAlignment w:val="center"/>
        <w:rPr>
          <w:sz w:val="21"/>
        </w:rPr>
      </w:pPr>
      <w:r>
        <w:rPr>
          <w:sz w:val="21"/>
        </w:rPr>
        <w:t>③事物的发展是前进性和曲折性的统一</w:t>
      </w:r>
    </w:p>
    <w:p w14:paraId="16786E89">
      <w:pPr>
        <w:shd w:val="clear" w:color="auto" w:fill="auto"/>
        <w:spacing w:before="0" w:after="0" w:line="360" w:lineRule="auto"/>
        <w:ind w:left="420" w:firstLine="0"/>
        <w:jc w:val="left"/>
        <w:textAlignment w:val="center"/>
        <w:rPr>
          <w:sz w:val="21"/>
        </w:rPr>
      </w:pPr>
      <w:r>
        <w:rPr>
          <w:sz w:val="21"/>
        </w:rPr>
        <w:t>④办事情既要抓关键，又要统筹兼顾</w:t>
      </w:r>
    </w:p>
    <w:p w14:paraId="1FDBE769">
      <w:pPr>
        <w:shd w:val="clear" w:color="auto" w:fill="auto"/>
        <w:tabs>
          <w:tab w:val="left" w:pos="2078"/>
          <w:tab w:val="left" w:pos="4156"/>
          <w:tab w:val="left" w:pos="6234"/>
        </w:tabs>
        <w:spacing w:before="0" w:after="0" w:line="360" w:lineRule="auto"/>
        <w:ind w:left="420" w:firstLine="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4C07C101">
      <w:pPr>
        <w:shd w:val="clear" w:color="auto" w:fill="auto"/>
        <w:spacing w:before="0" w:after="0" w:line="360" w:lineRule="auto"/>
        <w:ind w:left="420" w:hanging="420"/>
        <w:jc w:val="left"/>
        <w:textAlignment w:val="center"/>
        <w:rPr>
          <w:sz w:val="21"/>
        </w:rPr>
      </w:pPr>
      <w:r>
        <w:rPr>
          <w:sz w:val="21"/>
        </w:rPr>
        <w:t>14．下图漫画《有时候要走到谷底，才有向上走的机会》给我们的哲学启示是(</w:t>
      </w:r>
      <w:r>
        <w:rPr>
          <w:rFonts w:ascii="Times New Roman" w:eastAsia="Times New Roman" w:hAnsi="Times New Roman" w:cs="Times New Roman"/>
          <w:kern w:val="0"/>
          <w:sz w:val="24"/>
          <w:szCs w:val="24"/>
        </w:rPr>
        <w:t>   </w:t>
      </w:r>
      <w:r>
        <w:rPr>
          <w:sz w:val="21"/>
        </w:rPr>
        <w:t>)</w:t>
      </w:r>
    </w:p>
    <w:p w14:paraId="696BDD95">
      <w:pPr>
        <w:shd w:val="clear" w:color="auto" w:fill="auto"/>
        <w:spacing w:before="0" w:after="0" w:line="360" w:lineRule="auto"/>
        <w:ind w:left="420" w:firstLine="0"/>
        <w:jc w:val="center"/>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1724025" cy="2133600"/>
            <wp:effectExtent l="0" t="0" r="9525" b="0"/>
            <wp:docPr id="100007" name="图片 100007"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
                    <pic:cNvPicPr>
                      <a:picLocks noChangeAspect="1"/>
                    </pic:cNvPicPr>
                  </pic:nvPicPr>
                  <pic:blipFill>
                    <a:blip xmlns:r="http://schemas.openxmlformats.org/officeDocument/2006/relationships" r:embed="rId8"/>
                    <a:stretch>
                      <a:fillRect/>
                    </a:stretch>
                  </pic:blipFill>
                  <pic:spPr>
                    <a:xfrm>
                      <a:off x="0" y="0"/>
                      <a:ext cx="1724025" cy="2133600"/>
                    </a:xfrm>
                    <a:prstGeom prst="rect">
                      <a:avLst/>
                    </a:prstGeom>
                  </pic:spPr>
                </pic:pic>
              </a:graphicData>
            </a:graphic>
          </wp:inline>
        </w:drawing>
      </w:r>
    </w:p>
    <w:p w14:paraId="170B35E0">
      <w:pPr>
        <w:shd w:val="clear" w:color="auto" w:fill="auto"/>
        <w:spacing w:before="0" w:after="0" w:line="360" w:lineRule="auto"/>
        <w:ind w:left="420" w:firstLine="0"/>
        <w:jc w:val="left"/>
        <w:textAlignment w:val="center"/>
        <w:rPr>
          <w:sz w:val="21"/>
        </w:rPr>
      </w:pPr>
      <w:r>
        <w:rPr>
          <w:sz w:val="21"/>
        </w:rPr>
        <w:t>①认识是主观与客观具体的历史的统一</w:t>
      </w:r>
      <w:r>
        <w:rPr>
          <w:rFonts w:ascii="Times New Roman" w:eastAsia="Times New Roman" w:hAnsi="Times New Roman" w:cs="Times New Roman"/>
          <w:kern w:val="0"/>
          <w:sz w:val="24"/>
          <w:szCs w:val="24"/>
        </w:rPr>
        <w:t>       </w:t>
      </w:r>
    </w:p>
    <w:p w14:paraId="1A4EBF46">
      <w:pPr>
        <w:shd w:val="clear" w:color="auto" w:fill="auto"/>
        <w:spacing w:before="0" w:after="0" w:line="360" w:lineRule="auto"/>
        <w:ind w:left="420" w:firstLine="0"/>
        <w:jc w:val="left"/>
        <w:textAlignment w:val="center"/>
        <w:rPr>
          <w:sz w:val="21"/>
        </w:rPr>
      </w:pPr>
      <w:r>
        <w:rPr>
          <w:sz w:val="21"/>
        </w:rPr>
        <w:t>②矛盾双方在一定条件下相互转化</w:t>
      </w:r>
    </w:p>
    <w:p w14:paraId="4D1EAB5F">
      <w:pPr>
        <w:shd w:val="clear" w:color="auto" w:fill="auto"/>
        <w:spacing w:before="0" w:after="0" w:line="360" w:lineRule="auto"/>
        <w:ind w:left="420" w:firstLine="0"/>
        <w:jc w:val="left"/>
        <w:textAlignment w:val="center"/>
        <w:rPr>
          <w:sz w:val="21"/>
        </w:rPr>
      </w:pPr>
      <w:r>
        <w:rPr>
          <w:sz w:val="21"/>
        </w:rPr>
        <w:t>③事物发展是前进性与曲折性的统一</w:t>
      </w:r>
      <w:r>
        <w:rPr>
          <w:rFonts w:ascii="Times New Roman" w:eastAsia="Times New Roman" w:hAnsi="Times New Roman" w:cs="Times New Roman"/>
          <w:kern w:val="0"/>
          <w:sz w:val="24"/>
          <w:szCs w:val="24"/>
        </w:rPr>
        <w:t>         </w:t>
      </w:r>
    </w:p>
    <w:p w14:paraId="4D3D76C2">
      <w:pPr>
        <w:shd w:val="clear" w:color="auto" w:fill="auto"/>
        <w:spacing w:before="0" w:after="0" w:line="360" w:lineRule="auto"/>
        <w:ind w:left="420" w:firstLine="0"/>
        <w:jc w:val="left"/>
        <w:textAlignment w:val="center"/>
        <w:rPr>
          <w:sz w:val="21"/>
        </w:rPr>
      </w:pPr>
      <w:r>
        <w:rPr>
          <w:sz w:val="21"/>
        </w:rPr>
        <w:t>④成功取决于正确发挥主观能动性</w:t>
      </w:r>
    </w:p>
    <w:p w14:paraId="71A4744B">
      <w:pPr>
        <w:shd w:val="clear" w:color="auto" w:fill="auto"/>
        <w:tabs>
          <w:tab w:val="left" w:pos="2078"/>
          <w:tab w:val="left" w:pos="4156"/>
          <w:tab w:val="left" w:pos="6234"/>
        </w:tabs>
        <w:spacing w:before="0" w:after="0" w:line="360" w:lineRule="auto"/>
        <w:ind w:left="420" w:firstLine="0"/>
        <w:jc w:val="left"/>
        <w:textAlignment w:val="center"/>
        <w:rPr>
          <w:sz w:val="21"/>
        </w:rPr>
      </w:pPr>
      <w:r>
        <w:rPr>
          <w:sz w:val="21"/>
        </w:rPr>
        <w:t>A．①②</w:t>
      </w:r>
      <w:r>
        <w:rPr>
          <w:sz w:val="21"/>
        </w:rPr>
        <w:tab/>
      </w:r>
      <w:r>
        <w:rPr>
          <w:sz w:val="21"/>
        </w:rPr>
        <w:t>B．①④</w:t>
      </w:r>
      <w:r>
        <w:rPr>
          <w:sz w:val="21"/>
        </w:rPr>
        <w:tab/>
      </w:r>
      <w:r>
        <w:rPr>
          <w:sz w:val="21"/>
        </w:rPr>
        <w:t>C．②③</w:t>
      </w:r>
      <w:r>
        <w:rPr>
          <w:sz w:val="21"/>
        </w:rPr>
        <w:tab/>
      </w:r>
      <w:r>
        <w:rPr>
          <w:sz w:val="21"/>
        </w:rPr>
        <w:t>D．③④</w:t>
      </w:r>
    </w:p>
    <w:p w14:paraId="60D25B7F">
      <w:pPr>
        <w:shd w:val="clear" w:color="auto" w:fill="auto"/>
        <w:spacing w:before="0" w:after="0" w:line="360" w:lineRule="auto"/>
        <w:ind w:left="420" w:hanging="420"/>
        <w:jc w:val="left"/>
        <w:textAlignment w:val="center"/>
        <w:rPr>
          <w:sz w:val="21"/>
        </w:rPr>
      </w:pPr>
      <w:r>
        <w:rPr>
          <w:sz w:val="21"/>
        </w:rPr>
        <w:t>15．</w:t>
      </w:r>
      <w:r>
        <w:rPr>
          <w:rFonts w:ascii="黑体" w:eastAsia="黑体" w:hAnsi="黑体" w:cs="黑体" w:hint="eastAsia"/>
          <w:color w:val="C00000"/>
          <w:sz w:val="24"/>
          <w:szCs w:val="24"/>
          <w:highlight w:val="yellow"/>
          <w:lang w:eastAsia="zh-CN"/>
        </w:rPr>
        <w:t>（</w:t>
      </w:r>
      <w:r>
        <w:rPr>
          <w:rFonts w:ascii="黑体" w:eastAsia="黑体" w:hAnsi="黑体" w:cs="黑体" w:hint="eastAsia"/>
          <w:color w:val="C00000"/>
          <w:sz w:val="24"/>
          <w:szCs w:val="24"/>
          <w:highlight w:val="yellow"/>
          <w:lang w:val="en-US" w:eastAsia="zh-CN"/>
        </w:rPr>
        <w:t>改编题</w:t>
      </w:r>
      <w:r>
        <w:rPr>
          <w:rFonts w:ascii="黑体" w:eastAsia="黑体" w:hAnsi="黑体" w:cs="黑体" w:hint="eastAsia"/>
          <w:color w:val="C00000"/>
          <w:sz w:val="24"/>
          <w:szCs w:val="24"/>
          <w:highlight w:val="yellow"/>
          <w:lang w:eastAsia="zh-CN"/>
        </w:rPr>
        <w:t>）</w:t>
      </w:r>
      <w:r>
        <w:rPr>
          <w:sz w:val="21"/>
        </w:rPr>
        <w:t>《哪吒2》作为一部融合中国神话内核与现代价值观的动画电影，自2025年春节档上映以来，不仅在国内市场刷新票房纪录，更在海外市场引发广泛共鸣。《哪吒2》成为现象级电影表明（</w:t>
      </w:r>
      <w:r>
        <w:rPr>
          <w:rFonts w:ascii="Times New Roman" w:eastAsia="Times New Roman" w:hAnsi="Times New Roman" w:cs="Times New Roman"/>
          <w:kern w:val="0"/>
          <w:sz w:val="24"/>
          <w:szCs w:val="24"/>
        </w:rPr>
        <w:t>    </w:t>
      </w:r>
      <w:r>
        <w:rPr>
          <w:sz w:val="21"/>
        </w:rPr>
        <w:t>）</w:t>
      </w:r>
    </w:p>
    <w:p w14:paraId="6C0B46A9">
      <w:pPr>
        <w:shd w:val="clear" w:color="auto" w:fill="auto"/>
        <w:spacing w:before="0" w:after="0" w:line="360" w:lineRule="auto"/>
        <w:ind w:left="420" w:firstLine="0"/>
        <w:jc w:val="left"/>
        <w:textAlignment w:val="center"/>
        <w:rPr>
          <w:sz w:val="21"/>
        </w:rPr>
      </w:pPr>
      <w:r>
        <w:rPr>
          <w:sz w:val="21"/>
        </w:rPr>
        <w:t>①利用科技创新传统文化的表达是增强文化生命力的关键</w:t>
      </w:r>
    </w:p>
    <w:p w14:paraId="7470FF25">
      <w:pPr>
        <w:shd w:val="clear" w:color="auto" w:fill="auto"/>
        <w:spacing w:before="0" w:after="0" w:line="360" w:lineRule="auto"/>
        <w:ind w:left="420" w:firstLine="0"/>
        <w:jc w:val="left"/>
        <w:textAlignment w:val="center"/>
        <w:rPr>
          <w:sz w:val="21"/>
        </w:rPr>
      </w:pPr>
      <w:r>
        <w:rPr>
          <w:sz w:val="21"/>
        </w:rPr>
        <w:t>②文化产品的国际传播能有效提升国家文化软实力</w:t>
      </w:r>
    </w:p>
    <w:p w14:paraId="5E1364DF">
      <w:pPr>
        <w:shd w:val="clear" w:color="auto" w:fill="auto"/>
        <w:spacing w:before="0" w:after="0" w:line="360" w:lineRule="auto"/>
        <w:ind w:left="420" w:firstLine="0"/>
        <w:jc w:val="left"/>
        <w:textAlignment w:val="center"/>
        <w:rPr>
          <w:sz w:val="21"/>
        </w:rPr>
      </w:pPr>
      <w:r>
        <w:rPr>
          <w:sz w:val="21"/>
        </w:rPr>
        <w:t>③传统文化的当代价值需通过创造性转化来实现</w:t>
      </w:r>
    </w:p>
    <w:p w14:paraId="4AF8A768">
      <w:pPr>
        <w:shd w:val="clear" w:color="auto" w:fill="auto"/>
        <w:spacing w:before="0" w:after="0" w:line="360" w:lineRule="auto"/>
        <w:ind w:left="420" w:firstLine="0"/>
        <w:jc w:val="left"/>
        <w:textAlignment w:val="center"/>
        <w:rPr>
          <w:sz w:val="21"/>
        </w:rPr>
      </w:pPr>
      <w:r>
        <w:rPr>
          <w:sz w:val="21"/>
        </w:rPr>
        <w:t>④中外文化交流互鉴要坚持以我为主，为我所用</w:t>
      </w:r>
    </w:p>
    <w:p w14:paraId="0DD94FF4">
      <w:pPr>
        <w:shd w:val="clear" w:color="auto" w:fill="auto"/>
        <w:tabs>
          <w:tab w:val="left" w:pos="2078"/>
          <w:tab w:val="left" w:pos="4156"/>
          <w:tab w:val="left" w:pos="6234"/>
        </w:tabs>
        <w:spacing w:before="0" w:after="0" w:line="360" w:lineRule="auto"/>
        <w:ind w:left="420" w:firstLine="0"/>
        <w:jc w:val="left"/>
        <w:textAlignment w:val="center"/>
        <w:rPr>
          <w:sz w:val="21"/>
        </w:rPr>
      </w:pPr>
      <w:r>
        <w:rPr>
          <w:sz w:val="21"/>
        </w:rPr>
        <w:t>A．①②</w:t>
      </w:r>
      <w:r>
        <w:rPr>
          <w:sz w:val="21"/>
        </w:rPr>
        <w:tab/>
      </w:r>
      <w:r>
        <w:rPr>
          <w:sz w:val="21"/>
        </w:rPr>
        <w:t>B．①④</w:t>
      </w:r>
      <w:r>
        <w:rPr>
          <w:sz w:val="21"/>
        </w:rPr>
        <w:tab/>
      </w:r>
      <w:r>
        <w:rPr>
          <w:sz w:val="21"/>
        </w:rPr>
        <w:t>C．②③</w:t>
      </w:r>
      <w:r>
        <w:rPr>
          <w:sz w:val="21"/>
        </w:rPr>
        <w:tab/>
      </w:r>
      <w:r>
        <w:rPr>
          <w:sz w:val="21"/>
        </w:rPr>
        <w:t>D．③④</w:t>
      </w:r>
    </w:p>
    <w:p w14:paraId="541899EB">
      <w:pPr>
        <w:shd w:val="clear" w:color="auto" w:fill="auto"/>
        <w:spacing w:before="0" w:after="0" w:line="360" w:lineRule="auto"/>
        <w:ind w:left="420" w:hanging="420"/>
        <w:jc w:val="left"/>
        <w:textAlignment w:val="center"/>
        <w:rPr>
          <w:sz w:val="21"/>
        </w:rPr>
      </w:pPr>
      <w:r>
        <w:rPr>
          <w:sz w:val="21"/>
        </w:rPr>
        <w:t>16．文化赋能是指通过挖掘、激活文化资源，将其转化为推动社会、经济发展的核心动力，它既非保守的博物馆式封存，也非粗暴的商业化改造。下图是某地两类文化旅游项目对比：</w:t>
      </w:r>
    </w:p>
    <w:tbl>
      <w:tblPr>
        <w:tblStyle w:val="TableNormal"/>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1930"/>
        <w:gridCol w:w="1403"/>
        <w:gridCol w:w="1403"/>
        <w:gridCol w:w="1930"/>
        <w:gridCol w:w="1659"/>
      </w:tblGrid>
      <w:tr w14:paraId="099ECCF7">
        <w:tblPrEx>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jc w:val="center"/>
        </w:trPr>
        <w:tc>
          <w:tcPr>
            <w:tcW w:w="192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21C4C9BE">
            <w:pPr>
              <w:shd w:val="clear" w:color="auto" w:fill="auto"/>
              <w:spacing w:before="0" w:after="0" w:line="288" w:lineRule="auto"/>
              <w:ind w:left="0" w:right="0" w:firstLine="0"/>
              <w:jc w:val="center"/>
              <w:textAlignment w:val="center"/>
              <w:rPr>
                <w:sz w:val="21"/>
              </w:rPr>
            </w:pPr>
            <w:r>
              <w:rPr>
                <w:sz w:val="21"/>
              </w:rPr>
              <w:t>项目</w:t>
            </w:r>
          </w:p>
        </w:tc>
        <w:tc>
          <w:tcPr>
            <w:tcW w:w="139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0C6F0281">
            <w:pPr>
              <w:shd w:val="clear" w:color="auto" w:fill="auto"/>
              <w:spacing w:before="0" w:after="0" w:line="288" w:lineRule="auto"/>
              <w:ind w:left="0" w:right="0" w:firstLine="0"/>
              <w:jc w:val="center"/>
              <w:textAlignment w:val="center"/>
              <w:rPr>
                <w:sz w:val="21"/>
              </w:rPr>
            </w:pPr>
            <w:r>
              <w:rPr>
                <w:sz w:val="21"/>
              </w:rPr>
              <w:t>游客增长率</w:t>
            </w:r>
          </w:p>
        </w:tc>
        <w:tc>
          <w:tcPr>
            <w:tcW w:w="139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2842B120">
            <w:pPr>
              <w:shd w:val="clear" w:color="auto" w:fill="auto"/>
              <w:spacing w:before="0" w:after="0" w:line="288" w:lineRule="auto"/>
              <w:ind w:left="0" w:right="0" w:firstLine="0"/>
              <w:jc w:val="center"/>
              <w:textAlignment w:val="center"/>
              <w:rPr>
                <w:sz w:val="21"/>
              </w:rPr>
            </w:pPr>
            <w:r>
              <w:rPr>
                <w:sz w:val="21"/>
              </w:rPr>
              <w:t>在地就业率</w:t>
            </w:r>
          </w:p>
        </w:tc>
        <w:tc>
          <w:tcPr>
            <w:tcW w:w="192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2A40F10F">
            <w:pPr>
              <w:shd w:val="clear" w:color="auto" w:fill="auto"/>
              <w:spacing w:before="0" w:after="0" w:line="288" w:lineRule="auto"/>
              <w:ind w:left="0" w:right="0" w:firstLine="0"/>
              <w:jc w:val="center"/>
              <w:textAlignment w:val="center"/>
              <w:rPr>
                <w:sz w:val="21"/>
              </w:rPr>
            </w:pPr>
            <w:r>
              <w:rPr>
                <w:sz w:val="21"/>
              </w:rPr>
              <w:t>游客二次消费率</w:t>
            </w:r>
          </w:p>
        </w:tc>
        <w:tc>
          <w:tcPr>
            <w:tcW w:w="16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3514D02E">
            <w:pPr>
              <w:shd w:val="clear" w:color="auto" w:fill="auto"/>
              <w:spacing w:before="0" w:after="0" w:line="288" w:lineRule="auto"/>
              <w:ind w:left="0" w:right="0" w:firstLine="0"/>
              <w:jc w:val="center"/>
              <w:textAlignment w:val="center"/>
              <w:rPr>
                <w:sz w:val="21"/>
              </w:rPr>
            </w:pPr>
            <w:r>
              <w:rPr>
                <w:sz w:val="21"/>
              </w:rPr>
              <w:t>文化保护指数</w:t>
            </w:r>
          </w:p>
        </w:tc>
      </w:tr>
      <w:tr w14:paraId="6B64A042">
        <w:tblPrEx>
          <w:tblW w:w="8325" w:type="dxa"/>
          <w:jc w:val="center"/>
          <w:tblCellMar>
            <w:top w:w="120" w:type="dxa"/>
            <w:left w:w="120" w:type="dxa"/>
            <w:bottom w:w="120" w:type="dxa"/>
            <w:right w:w="120" w:type="dxa"/>
          </w:tblCellMar>
        </w:tblPrEx>
        <w:trPr>
          <w:jc w:val="center"/>
        </w:trPr>
        <w:tc>
          <w:tcPr>
            <w:tcW w:w="192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7BC618A4">
            <w:pPr>
              <w:shd w:val="clear" w:color="auto" w:fill="auto"/>
              <w:spacing w:before="0" w:after="0" w:line="288" w:lineRule="auto"/>
              <w:ind w:left="0" w:right="0" w:firstLine="0"/>
              <w:jc w:val="center"/>
              <w:textAlignment w:val="center"/>
              <w:rPr>
                <w:sz w:val="21"/>
              </w:rPr>
            </w:pPr>
            <w:r>
              <w:rPr>
                <w:sz w:val="21"/>
              </w:rPr>
              <w:t>非遗活态传承村</w:t>
            </w:r>
          </w:p>
        </w:tc>
        <w:tc>
          <w:tcPr>
            <w:tcW w:w="139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6045298E">
            <w:pPr>
              <w:shd w:val="clear" w:color="auto" w:fill="auto"/>
              <w:spacing w:before="0" w:after="0" w:line="288" w:lineRule="auto"/>
              <w:ind w:left="0" w:right="0" w:firstLine="0"/>
              <w:jc w:val="left"/>
              <w:textAlignment w:val="center"/>
              <w:rPr>
                <w:sz w:val="21"/>
              </w:rPr>
            </w:pPr>
            <w:r>
              <w:rPr>
                <w:sz w:val="21"/>
              </w:rPr>
              <w:t>18%</w:t>
            </w:r>
          </w:p>
        </w:tc>
        <w:tc>
          <w:tcPr>
            <w:tcW w:w="139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0AE74041">
            <w:pPr>
              <w:shd w:val="clear" w:color="auto" w:fill="auto"/>
              <w:spacing w:before="0" w:after="0" w:line="288" w:lineRule="auto"/>
              <w:ind w:left="0" w:right="0" w:firstLine="0"/>
              <w:jc w:val="left"/>
              <w:textAlignment w:val="center"/>
              <w:rPr>
                <w:sz w:val="21"/>
              </w:rPr>
            </w:pPr>
            <w:r>
              <w:rPr>
                <w:sz w:val="21"/>
              </w:rPr>
              <w:t>75%</w:t>
            </w:r>
          </w:p>
        </w:tc>
        <w:tc>
          <w:tcPr>
            <w:tcW w:w="192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5B5A1EB1">
            <w:pPr>
              <w:shd w:val="clear" w:color="auto" w:fill="auto"/>
              <w:spacing w:before="0" w:after="0" w:line="288" w:lineRule="auto"/>
              <w:ind w:left="0" w:right="0" w:firstLine="0"/>
              <w:jc w:val="left"/>
              <w:textAlignment w:val="center"/>
              <w:rPr>
                <w:sz w:val="21"/>
              </w:rPr>
            </w:pPr>
            <w:r>
              <w:rPr>
                <w:sz w:val="21"/>
              </w:rPr>
              <w:t>15%</w:t>
            </w:r>
          </w:p>
        </w:tc>
        <w:tc>
          <w:tcPr>
            <w:tcW w:w="16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009E8291">
            <w:pPr>
              <w:shd w:val="clear" w:color="auto" w:fill="auto"/>
              <w:spacing w:before="0" w:after="0" w:line="288" w:lineRule="auto"/>
              <w:ind w:left="0" w:right="0" w:firstLine="0"/>
              <w:jc w:val="left"/>
              <w:textAlignment w:val="center"/>
              <w:rPr>
                <w:sz w:val="21"/>
              </w:rPr>
            </w:pPr>
            <w:r>
              <w:rPr>
                <w:sz w:val="21"/>
              </w:rPr>
              <w:t>88/100</w:t>
            </w:r>
          </w:p>
        </w:tc>
      </w:tr>
      <w:tr w14:paraId="69BD134D">
        <w:tblPrEx>
          <w:tblW w:w="8325" w:type="dxa"/>
          <w:jc w:val="center"/>
          <w:tblCellMar>
            <w:top w:w="120" w:type="dxa"/>
            <w:left w:w="120" w:type="dxa"/>
            <w:bottom w:w="120" w:type="dxa"/>
            <w:right w:w="120" w:type="dxa"/>
          </w:tblCellMar>
        </w:tblPrEx>
        <w:trPr>
          <w:jc w:val="center"/>
        </w:trPr>
        <w:tc>
          <w:tcPr>
            <w:tcW w:w="192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141F7D9C">
            <w:pPr>
              <w:shd w:val="clear" w:color="auto" w:fill="auto"/>
              <w:spacing w:before="0" w:after="0" w:line="288" w:lineRule="auto"/>
              <w:ind w:left="0" w:right="0" w:firstLine="0"/>
              <w:jc w:val="center"/>
              <w:textAlignment w:val="center"/>
              <w:rPr>
                <w:sz w:val="21"/>
              </w:rPr>
            </w:pPr>
            <w:r>
              <w:rPr>
                <w:sz w:val="21"/>
              </w:rPr>
              <w:t>影视仿古小镇</w:t>
            </w:r>
          </w:p>
        </w:tc>
        <w:tc>
          <w:tcPr>
            <w:tcW w:w="139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32A0B071">
            <w:pPr>
              <w:shd w:val="clear" w:color="auto" w:fill="auto"/>
              <w:spacing w:before="0" w:after="0" w:line="288" w:lineRule="auto"/>
              <w:ind w:left="0" w:right="0" w:firstLine="0"/>
              <w:jc w:val="left"/>
              <w:textAlignment w:val="center"/>
              <w:rPr>
                <w:sz w:val="21"/>
              </w:rPr>
            </w:pPr>
            <w:r>
              <w:rPr>
                <w:sz w:val="21"/>
              </w:rPr>
              <w:t>23%</w:t>
            </w:r>
          </w:p>
        </w:tc>
        <w:tc>
          <w:tcPr>
            <w:tcW w:w="139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157BA47E">
            <w:pPr>
              <w:shd w:val="clear" w:color="auto" w:fill="auto"/>
              <w:spacing w:before="0" w:after="0" w:line="288" w:lineRule="auto"/>
              <w:ind w:left="0" w:right="0" w:firstLine="0"/>
              <w:jc w:val="left"/>
              <w:textAlignment w:val="center"/>
              <w:rPr>
                <w:sz w:val="21"/>
              </w:rPr>
            </w:pPr>
            <w:r>
              <w:rPr>
                <w:sz w:val="21"/>
              </w:rPr>
              <w:t>32%</w:t>
            </w:r>
          </w:p>
        </w:tc>
        <w:tc>
          <w:tcPr>
            <w:tcW w:w="192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75F3770A">
            <w:pPr>
              <w:shd w:val="clear" w:color="auto" w:fill="auto"/>
              <w:spacing w:before="0" w:after="0" w:line="288" w:lineRule="auto"/>
              <w:ind w:left="0" w:right="0" w:firstLine="0"/>
              <w:jc w:val="left"/>
              <w:textAlignment w:val="center"/>
              <w:rPr>
                <w:sz w:val="21"/>
              </w:rPr>
            </w:pPr>
            <w:r>
              <w:rPr>
                <w:sz w:val="21"/>
              </w:rPr>
              <w:t>38%</w:t>
            </w:r>
          </w:p>
        </w:tc>
        <w:tc>
          <w:tcPr>
            <w:tcW w:w="16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10B1C67D">
            <w:pPr>
              <w:shd w:val="clear" w:color="auto" w:fill="auto"/>
              <w:spacing w:before="0" w:after="0" w:line="288" w:lineRule="auto"/>
              <w:ind w:left="0" w:right="0" w:firstLine="0"/>
              <w:jc w:val="left"/>
              <w:textAlignment w:val="center"/>
              <w:rPr>
                <w:sz w:val="21"/>
              </w:rPr>
            </w:pPr>
            <w:r>
              <w:rPr>
                <w:sz w:val="21"/>
              </w:rPr>
              <w:t>47/100</w:t>
            </w:r>
          </w:p>
        </w:tc>
      </w:tr>
    </w:tbl>
    <w:p w14:paraId="1B246724">
      <w:pPr>
        <w:shd w:val="clear" w:color="auto" w:fill="auto"/>
        <w:spacing w:before="0" w:after="0" w:line="360" w:lineRule="auto"/>
        <w:ind w:left="420" w:firstLine="0"/>
        <w:jc w:val="left"/>
        <w:textAlignment w:val="center"/>
        <w:rPr>
          <w:sz w:val="21"/>
        </w:rPr>
      </w:pPr>
      <w:r>
        <w:rPr>
          <w:sz w:val="21"/>
        </w:rPr>
        <w:t>通过对上表的数据分析，可能推理得出的结论是（</w:t>
      </w:r>
      <w:r>
        <w:rPr>
          <w:rFonts w:ascii="Times New Roman" w:eastAsia="Times New Roman" w:hAnsi="Times New Roman" w:cs="Times New Roman"/>
          <w:kern w:val="0"/>
          <w:sz w:val="24"/>
          <w:szCs w:val="24"/>
        </w:rPr>
        <w:t>   </w:t>
      </w:r>
      <w:r>
        <w:rPr>
          <w:sz w:val="21"/>
        </w:rPr>
        <w:t>）</w:t>
      </w:r>
    </w:p>
    <w:p w14:paraId="55070ED1">
      <w:pPr>
        <w:shd w:val="clear" w:color="auto" w:fill="auto"/>
        <w:spacing w:before="0" w:after="0" w:line="360" w:lineRule="auto"/>
        <w:ind w:left="420" w:firstLine="0"/>
        <w:jc w:val="left"/>
        <w:textAlignment w:val="center"/>
        <w:rPr>
          <w:sz w:val="21"/>
        </w:rPr>
      </w:pPr>
      <w:r>
        <w:rPr>
          <w:sz w:val="21"/>
        </w:rPr>
        <w:t>A．游客量增长必然导致文化保护水平下降</w:t>
      </w:r>
    </w:p>
    <w:p w14:paraId="7FD2020F">
      <w:pPr>
        <w:shd w:val="clear" w:color="auto" w:fill="auto"/>
        <w:spacing w:before="0" w:after="0" w:line="360" w:lineRule="auto"/>
        <w:ind w:left="420" w:firstLine="0"/>
        <w:jc w:val="left"/>
        <w:textAlignment w:val="center"/>
        <w:rPr>
          <w:sz w:val="21"/>
        </w:rPr>
      </w:pPr>
      <w:r>
        <w:rPr>
          <w:sz w:val="21"/>
        </w:rPr>
        <w:t>B．经济收益与公众参与度呈负相关关系</w:t>
      </w:r>
    </w:p>
    <w:p w14:paraId="729653E2">
      <w:pPr>
        <w:shd w:val="clear" w:color="auto" w:fill="auto"/>
        <w:spacing w:before="0" w:after="0" w:line="360" w:lineRule="auto"/>
        <w:ind w:left="420" w:firstLine="0"/>
        <w:jc w:val="left"/>
        <w:textAlignment w:val="center"/>
        <w:rPr>
          <w:sz w:val="21"/>
        </w:rPr>
      </w:pPr>
      <w:r>
        <w:rPr>
          <w:sz w:val="21"/>
        </w:rPr>
        <w:t>C．短期流量优势可能掩盖文化根基侵蚀</w:t>
      </w:r>
    </w:p>
    <w:p w14:paraId="10E93FB2">
      <w:pPr>
        <w:shd w:val="clear" w:color="auto" w:fill="auto"/>
        <w:spacing w:before="0" w:after="0" w:line="360" w:lineRule="auto"/>
        <w:ind w:left="420" w:firstLine="0"/>
        <w:jc w:val="left"/>
        <w:textAlignment w:val="center"/>
        <w:rPr>
          <w:sz w:val="21"/>
        </w:rPr>
      </w:pPr>
      <w:r>
        <w:rPr>
          <w:sz w:val="21"/>
        </w:rPr>
        <w:t>D．二次消费率高低与文化体验深度无关</w:t>
      </w:r>
    </w:p>
    <w:p w14:paraId="1D3B7AFB">
      <w:pPr>
        <w:numPr>
          <w:ilvl w:val="0"/>
          <w:numId w:val="0"/>
        </w:numPr>
        <w:spacing w:before="0" w:after="0" w:line="360" w:lineRule="auto"/>
        <w:ind w:left="0" w:firstLine="0"/>
        <w:jc w:val="left"/>
        <w:textAlignment w:val="center"/>
        <w:rPr>
          <w:color w:val="000000"/>
        </w:rPr>
      </w:pPr>
      <w:r>
        <w:rPr>
          <w:rFonts w:ascii="宋体" w:eastAsia="宋体" w:hAnsi="宋体" w:cs="宋体"/>
          <w:b/>
          <w:color w:val="000000"/>
          <w:sz w:val="24"/>
        </w:rPr>
        <w:t>二、选择题Ⅱ(本大题共7小题,每小题3分，共21分，每小题列出的四个备选项中只有一个是符合题目要求的，不选、多选、错选均不得分)。</w:t>
      </w:r>
    </w:p>
    <w:p w14:paraId="07430441">
      <w:pPr>
        <w:shd w:val="clear" w:color="auto" w:fill="auto"/>
        <w:spacing w:before="0" w:after="0" w:line="360" w:lineRule="auto"/>
        <w:ind w:left="420" w:hanging="420"/>
        <w:jc w:val="left"/>
        <w:textAlignment w:val="center"/>
        <w:rPr>
          <w:sz w:val="21"/>
        </w:rPr>
      </w:pPr>
      <w:r>
        <w:rPr>
          <w:sz w:val="21"/>
        </w:rPr>
        <w:t>17．近期，美国总统宣称“要重新掌控巴拿马运河”。2025年3月4日，香港长和公司与美国贝莱德财团达成原则性协议，拟转让长和的43个港口业务，其中巴拿马运河两端港口涉及全球6%的海运贸易、中国商船货运量的21%。对此，中国政府强调“反对经济胁迫”。该事件说明（</w:t>
      </w:r>
      <w:r>
        <w:rPr>
          <w:rFonts w:ascii="Times New Roman" w:eastAsia="Times New Roman" w:hAnsi="Times New Roman" w:cs="Times New Roman"/>
          <w:kern w:val="0"/>
          <w:sz w:val="24"/>
          <w:szCs w:val="24"/>
        </w:rPr>
        <w:t>   </w:t>
      </w:r>
      <w:r>
        <w:rPr>
          <w:sz w:val="21"/>
        </w:rPr>
        <w:t>）</w:t>
      </w:r>
    </w:p>
    <w:p w14:paraId="1CFE3960">
      <w:pPr>
        <w:shd w:val="clear" w:color="auto" w:fill="auto"/>
        <w:spacing w:before="0" w:after="0" w:line="360" w:lineRule="auto"/>
        <w:ind w:left="420" w:firstLine="0"/>
        <w:jc w:val="left"/>
        <w:textAlignment w:val="center"/>
        <w:rPr>
          <w:sz w:val="21"/>
        </w:rPr>
      </w:pPr>
      <w:r>
        <w:rPr>
          <w:sz w:val="21"/>
        </w:rPr>
        <w:t>①经济全球化是一把双刃剑，政府和企业要携手防范经济风险</w:t>
      </w:r>
    </w:p>
    <w:p w14:paraId="4F2323A6">
      <w:pPr>
        <w:shd w:val="clear" w:color="auto" w:fill="auto"/>
        <w:spacing w:before="0" w:after="0" w:line="360" w:lineRule="auto"/>
        <w:ind w:left="420" w:firstLine="0"/>
        <w:jc w:val="left"/>
        <w:textAlignment w:val="center"/>
        <w:rPr>
          <w:sz w:val="21"/>
        </w:rPr>
      </w:pPr>
      <w:r>
        <w:rPr>
          <w:sz w:val="21"/>
        </w:rPr>
        <w:t>②我国采用单一制的国家管理形式，要落实中央的全面管治权</w:t>
      </w:r>
    </w:p>
    <w:p w14:paraId="42FD6AE0">
      <w:pPr>
        <w:shd w:val="clear" w:color="auto" w:fill="auto"/>
        <w:spacing w:before="0" w:after="0" w:line="360" w:lineRule="auto"/>
        <w:ind w:left="420" w:firstLine="0"/>
        <w:jc w:val="left"/>
        <w:textAlignment w:val="center"/>
        <w:rPr>
          <w:sz w:val="21"/>
        </w:rPr>
      </w:pPr>
      <w:r>
        <w:rPr>
          <w:sz w:val="21"/>
        </w:rPr>
        <w:t>③跨国交易遵循商业逻辑，应避免跨国资本流动受到地缘政治博弈的制约</w:t>
      </w:r>
    </w:p>
    <w:p w14:paraId="20A67392">
      <w:pPr>
        <w:shd w:val="clear" w:color="auto" w:fill="auto"/>
        <w:spacing w:before="0" w:after="0" w:line="360" w:lineRule="auto"/>
        <w:ind w:left="420" w:firstLine="0"/>
        <w:jc w:val="left"/>
        <w:textAlignment w:val="center"/>
        <w:rPr>
          <w:sz w:val="21"/>
        </w:rPr>
      </w:pPr>
      <w:r>
        <w:rPr>
          <w:sz w:val="21"/>
        </w:rPr>
        <w:t>④重要港口业务事关国家战略，要坚持以经济安全为基础的总体国家安全观</w:t>
      </w:r>
    </w:p>
    <w:p w14:paraId="67F6DFDA">
      <w:pPr>
        <w:shd w:val="clear" w:color="auto" w:fill="auto"/>
        <w:tabs>
          <w:tab w:val="left" w:pos="2078"/>
          <w:tab w:val="left" w:pos="4156"/>
          <w:tab w:val="left" w:pos="6234"/>
        </w:tabs>
        <w:spacing w:before="0" w:after="0" w:line="360" w:lineRule="auto"/>
        <w:ind w:left="420" w:firstLine="0"/>
        <w:jc w:val="left"/>
        <w:textAlignment w:val="center"/>
        <w:rPr>
          <w:sz w:val="21"/>
        </w:rPr>
      </w:pPr>
      <w:r>
        <w:rPr>
          <w:sz w:val="21"/>
        </w:rPr>
        <w:t>A．①②</w:t>
      </w:r>
      <w:r>
        <w:rPr>
          <w:sz w:val="21"/>
        </w:rPr>
        <w:tab/>
      </w:r>
      <w:r>
        <w:rPr>
          <w:sz w:val="21"/>
        </w:rPr>
        <w:t>B．①④</w:t>
      </w:r>
      <w:r>
        <w:rPr>
          <w:sz w:val="21"/>
        </w:rPr>
        <w:tab/>
      </w:r>
      <w:r>
        <w:rPr>
          <w:sz w:val="21"/>
        </w:rPr>
        <w:t>C．②③</w:t>
      </w:r>
      <w:r>
        <w:rPr>
          <w:sz w:val="21"/>
        </w:rPr>
        <w:tab/>
      </w:r>
      <w:r>
        <w:rPr>
          <w:sz w:val="21"/>
        </w:rPr>
        <w:t>D．③④</w:t>
      </w:r>
    </w:p>
    <w:p w14:paraId="03E03BBE">
      <w:pPr>
        <w:shd w:val="clear" w:color="auto" w:fill="auto"/>
        <w:spacing w:before="0" w:after="0" w:line="360" w:lineRule="auto"/>
        <w:ind w:left="420" w:hanging="420"/>
        <w:jc w:val="left"/>
        <w:textAlignment w:val="center"/>
        <w:rPr>
          <w:sz w:val="21"/>
        </w:rPr>
      </w:pPr>
      <w:r>
        <w:rPr>
          <w:sz w:val="21"/>
        </w:rPr>
        <w:t>18．2025年是联合国成立80周年。80年来，联合国通过安理会维和行动与冲突调解，不断遏制局部战争；通过推动多边主义，在可持续发展、气候变化等领域协调国际共同行动。由此可见联合国（</w:t>
      </w:r>
      <w:r>
        <w:rPr>
          <w:rFonts w:ascii="Times New Roman" w:eastAsia="Times New Roman" w:hAnsi="Times New Roman" w:cs="Times New Roman"/>
          <w:kern w:val="0"/>
          <w:sz w:val="24"/>
          <w:szCs w:val="24"/>
        </w:rPr>
        <w:t>   </w:t>
      </w:r>
      <w:r>
        <w:rPr>
          <w:sz w:val="21"/>
        </w:rPr>
        <w:t>）</w:t>
      </w:r>
    </w:p>
    <w:p w14:paraId="6D8D2B29">
      <w:pPr>
        <w:shd w:val="clear" w:color="auto" w:fill="auto"/>
        <w:spacing w:before="0" w:after="0" w:line="360" w:lineRule="auto"/>
        <w:ind w:left="420" w:firstLine="0"/>
        <w:jc w:val="left"/>
        <w:textAlignment w:val="center"/>
        <w:rPr>
          <w:sz w:val="21"/>
        </w:rPr>
      </w:pPr>
      <w:r>
        <w:rPr>
          <w:sz w:val="21"/>
        </w:rPr>
        <w:t>①其主要审议机构安理会，在保障全球安全中发挥着不可代替的作用</w:t>
      </w:r>
    </w:p>
    <w:p w14:paraId="00D9D0BC">
      <w:pPr>
        <w:shd w:val="clear" w:color="auto" w:fill="auto"/>
        <w:spacing w:before="0" w:after="0" w:line="360" w:lineRule="auto"/>
        <w:ind w:left="420" w:firstLine="0"/>
        <w:jc w:val="left"/>
        <w:textAlignment w:val="center"/>
        <w:rPr>
          <w:sz w:val="21"/>
        </w:rPr>
      </w:pPr>
      <w:r>
        <w:rPr>
          <w:sz w:val="21"/>
        </w:rPr>
        <w:t>②作为最具普遍性的国际组织，在维护国际秩序方面发挥了重要作用</w:t>
      </w:r>
    </w:p>
    <w:p w14:paraId="2135A30B">
      <w:pPr>
        <w:shd w:val="clear" w:color="auto" w:fill="auto"/>
        <w:spacing w:before="0" w:after="0" w:line="360" w:lineRule="auto"/>
        <w:ind w:left="420" w:firstLine="0"/>
        <w:jc w:val="left"/>
        <w:textAlignment w:val="center"/>
        <w:rPr>
          <w:sz w:val="21"/>
        </w:rPr>
      </w:pPr>
      <w:r>
        <w:rPr>
          <w:sz w:val="21"/>
        </w:rPr>
        <w:t>③通过其庞大、复杂的发展系统全面主导全球治理体系和能力的变革</w:t>
      </w:r>
    </w:p>
    <w:p w14:paraId="547A4B5E">
      <w:pPr>
        <w:shd w:val="clear" w:color="auto" w:fill="auto"/>
        <w:spacing w:before="0" w:after="0" w:line="360" w:lineRule="auto"/>
        <w:ind w:left="420" w:firstLine="0"/>
        <w:jc w:val="left"/>
        <w:textAlignment w:val="center"/>
        <w:rPr>
          <w:sz w:val="21"/>
        </w:rPr>
      </w:pPr>
      <w:r>
        <w:rPr>
          <w:sz w:val="21"/>
        </w:rPr>
        <w:t>④作为集体应对各种威胁挑战的合作平台，其作用只能加强不能削弱</w:t>
      </w:r>
    </w:p>
    <w:p w14:paraId="46B89B32">
      <w:pPr>
        <w:shd w:val="clear" w:color="auto" w:fill="auto"/>
        <w:tabs>
          <w:tab w:val="left" w:pos="2078"/>
          <w:tab w:val="left" w:pos="4156"/>
          <w:tab w:val="left" w:pos="6234"/>
        </w:tabs>
        <w:spacing w:before="0" w:after="0" w:line="360" w:lineRule="auto"/>
        <w:ind w:left="420" w:firstLine="0"/>
        <w:jc w:val="left"/>
        <w:textAlignment w:val="center"/>
        <w:rPr>
          <w:sz w:val="21"/>
        </w:rPr>
      </w:pPr>
      <w:r>
        <w:rPr>
          <w:sz w:val="21"/>
        </w:rPr>
        <w:t>A．①②</w:t>
      </w:r>
      <w:r>
        <w:rPr>
          <w:sz w:val="21"/>
        </w:rPr>
        <w:tab/>
      </w:r>
      <w:r>
        <w:rPr>
          <w:sz w:val="21"/>
        </w:rPr>
        <w:t>B．①③</w:t>
      </w:r>
      <w:r>
        <w:rPr>
          <w:sz w:val="21"/>
        </w:rPr>
        <w:tab/>
      </w:r>
      <w:r>
        <w:rPr>
          <w:sz w:val="21"/>
        </w:rPr>
        <w:t>C．②④</w:t>
      </w:r>
      <w:r>
        <w:rPr>
          <w:sz w:val="21"/>
        </w:rPr>
        <w:tab/>
      </w:r>
      <w:r>
        <w:rPr>
          <w:sz w:val="21"/>
        </w:rPr>
        <w:t>D．③④</w:t>
      </w:r>
    </w:p>
    <w:p w14:paraId="7C1A8A56">
      <w:pPr>
        <w:shd w:val="clear" w:color="auto" w:fill="auto"/>
        <w:spacing w:before="0" w:after="0" w:line="360" w:lineRule="auto"/>
        <w:ind w:left="420" w:hanging="420"/>
        <w:jc w:val="left"/>
        <w:textAlignment w:val="center"/>
        <w:rPr>
          <w:sz w:val="21"/>
        </w:rPr>
      </w:pPr>
      <w:r>
        <w:rPr>
          <w:sz w:val="21"/>
        </w:rPr>
        <w:t>19．截至2025年1月，上海合作组织成员国增加至10个，有2个观察员国，14个对话伙伴，成员国人口占全球近一半，陆地面积、经济总量约占世界1/4,彰显了“上海精神”的巨大感召力。中国推动上海合作组织积极加强在本币结算、创业创新、人工智能等领域的务实合作，为各成员国经济社会繁荣发展提供有效助力。这说明（</w:t>
      </w:r>
      <w:r>
        <w:rPr>
          <w:rFonts w:ascii="Times New Roman" w:eastAsia="Times New Roman" w:hAnsi="Times New Roman" w:cs="Times New Roman"/>
          <w:kern w:val="0"/>
          <w:sz w:val="24"/>
          <w:szCs w:val="24"/>
        </w:rPr>
        <w:t>    </w:t>
      </w:r>
      <w:r>
        <w:rPr>
          <w:sz w:val="21"/>
        </w:rPr>
        <w:t>）</w:t>
      </w:r>
    </w:p>
    <w:p w14:paraId="161B0845">
      <w:pPr>
        <w:shd w:val="clear" w:color="auto" w:fill="auto"/>
        <w:spacing w:before="0" w:after="0" w:line="360" w:lineRule="auto"/>
        <w:ind w:left="420" w:firstLine="0"/>
        <w:jc w:val="left"/>
        <w:textAlignment w:val="center"/>
        <w:rPr>
          <w:sz w:val="21"/>
        </w:rPr>
      </w:pPr>
      <w:r>
        <w:rPr>
          <w:sz w:val="21"/>
        </w:rPr>
        <w:t>A．上海合作组织是集体应对各种威胁挑战的有效平台</w:t>
      </w:r>
    </w:p>
    <w:p w14:paraId="21945243">
      <w:pPr>
        <w:shd w:val="clear" w:color="auto" w:fill="auto"/>
        <w:spacing w:before="0" w:after="0" w:line="360" w:lineRule="auto"/>
        <w:ind w:left="420" w:firstLine="0"/>
        <w:jc w:val="left"/>
        <w:textAlignment w:val="center"/>
        <w:rPr>
          <w:sz w:val="21"/>
        </w:rPr>
      </w:pPr>
      <w:r>
        <w:rPr>
          <w:sz w:val="21"/>
        </w:rPr>
        <w:t>B．“上海精神”旨在尊重多样文明、谋求共同发展</w:t>
      </w:r>
    </w:p>
    <w:p w14:paraId="1B2DE165">
      <w:pPr>
        <w:shd w:val="clear" w:color="auto" w:fill="auto"/>
        <w:spacing w:before="0" w:after="0" w:line="360" w:lineRule="auto"/>
        <w:ind w:left="420" w:firstLine="0"/>
        <w:jc w:val="left"/>
        <w:textAlignment w:val="center"/>
        <w:rPr>
          <w:sz w:val="21"/>
        </w:rPr>
      </w:pPr>
      <w:r>
        <w:rPr>
          <w:sz w:val="21"/>
        </w:rPr>
        <w:t>C．上海合作组织作为区域合作的典范影响力与日俱增</w:t>
      </w:r>
    </w:p>
    <w:p w14:paraId="47177DEB">
      <w:pPr>
        <w:shd w:val="clear" w:color="auto" w:fill="auto"/>
        <w:spacing w:before="0" w:after="0" w:line="360" w:lineRule="auto"/>
        <w:ind w:left="420" w:firstLine="0"/>
        <w:jc w:val="left"/>
        <w:textAlignment w:val="center"/>
        <w:rPr>
          <w:sz w:val="21"/>
        </w:rPr>
      </w:pPr>
      <w:r>
        <w:rPr>
          <w:sz w:val="21"/>
        </w:rPr>
        <w:t>D．中国积极解决“和平赤字”推动构建人类命运共同体</w:t>
      </w:r>
    </w:p>
    <w:p w14:paraId="422D830E">
      <w:pPr>
        <w:shd w:val="clear" w:color="auto" w:fill="auto"/>
        <w:spacing w:before="0" w:after="0" w:line="360" w:lineRule="auto"/>
        <w:ind w:left="420" w:hanging="420"/>
        <w:jc w:val="left"/>
        <w:textAlignment w:val="center"/>
        <w:rPr>
          <w:sz w:val="21"/>
        </w:rPr>
      </w:pPr>
      <w:r>
        <w:rPr>
          <w:sz w:val="21"/>
        </w:rPr>
        <w:t>20．老年人杨某无子女，在配偶去世后，由配偶之侄卢某照顾，二人经过公证签订意定监护协议。后杨某突发重疾，意识出现障碍。医院诊断杨某多器官衰竭；卢某提交视频光盘显示杨某无法独立进行意思表示；鉴定机构鉴定杨某系重度失能人员；当地居委会出具意见确认杨某意识不清，同意卢某担任其监护人。卢某遂向法院申请担任杨某监护人。本案中（</w:t>
      </w:r>
      <w:r>
        <w:rPr>
          <w:rFonts w:ascii="Times New Roman" w:eastAsia="Times New Roman" w:hAnsi="Times New Roman" w:cs="Times New Roman"/>
          <w:kern w:val="0"/>
          <w:sz w:val="24"/>
          <w:szCs w:val="24"/>
        </w:rPr>
        <w:t>   </w:t>
      </w:r>
      <w:r>
        <w:rPr>
          <w:sz w:val="21"/>
        </w:rPr>
        <w:t>）</w:t>
      </w:r>
    </w:p>
    <w:p w14:paraId="5F899CD5">
      <w:pPr>
        <w:shd w:val="clear" w:color="auto" w:fill="auto"/>
        <w:spacing w:before="0" w:after="0" w:line="360" w:lineRule="auto"/>
        <w:ind w:left="420" w:firstLine="0"/>
        <w:jc w:val="left"/>
        <w:textAlignment w:val="center"/>
        <w:rPr>
          <w:sz w:val="21"/>
        </w:rPr>
      </w:pPr>
      <w:r>
        <w:rPr>
          <w:sz w:val="21"/>
        </w:rPr>
        <w:t>①若卢某尽到监护职责，则可在杨某去世后获赠其个人遗产</w:t>
      </w:r>
    </w:p>
    <w:p w14:paraId="51FFA348">
      <w:pPr>
        <w:shd w:val="clear" w:color="auto" w:fill="auto"/>
        <w:spacing w:before="0" w:after="0" w:line="360" w:lineRule="auto"/>
        <w:ind w:left="420" w:firstLine="0"/>
        <w:jc w:val="left"/>
        <w:textAlignment w:val="center"/>
        <w:rPr>
          <w:sz w:val="21"/>
        </w:rPr>
      </w:pPr>
      <w:r>
        <w:rPr>
          <w:sz w:val="21"/>
        </w:rPr>
        <w:t>②意定监护协议为双方当事人的真实意思表示，属合法有效</w:t>
      </w:r>
    </w:p>
    <w:p w14:paraId="7C6EA06A">
      <w:pPr>
        <w:shd w:val="clear" w:color="auto" w:fill="auto"/>
        <w:spacing w:before="0" w:after="0" w:line="360" w:lineRule="auto"/>
        <w:ind w:left="420" w:firstLine="0"/>
        <w:jc w:val="left"/>
        <w:textAlignment w:val="center"/>
        <w:rPr>
          <w:sz w:val="21"/>
        </w:rPr>
      </w:pPr>
      <w:r>
        <w:rPr>
          <w:sz w:val="21"/>
        </w:rPr>
        <w:t>③杨某和卢某可在居委会出具意见后继续协商调整协议内容</w:t>
      </w:r>
    </w:p>
    <w:p w14:paraId="22EC771F">
      <w:pPr>
        <w:shd w:val="clear" w:color="auto" w:fill="auto"/>
        <w:spacing w:before="0" w:after="0" w:line="360" w:lineRule="auto"/>
        <w:ind w:left="420" w:firstLine="0"/>
        <w:jc w:val="left"/>
        <w:textAlignment w:val="center"/>
        <w:rPr>
          <w:sz w:val="21"/>
        </w:rPr>
      </w:pPr>
      <w:r>
        <w:rPr>
          <w:sz w:val="21"/>
        </w:rPr>
        <w:t>④法院将支持卢某申请，卢某将管理杨某财产并安排其养老</w:t>
      </w:r>
    </w:p>
    <w:p w14:paraId="7E0A1316">
      <w:pPr>
        <w:shd w:val="clear" w:color="auto" w:fill="auto"/>
        <w:tabs>
          <w:tab w:val="left" w:pos="2078"/>
          <w:tab w:val="left" w:pos="4156"/>
          <w:tab w:val="left" w:pos="6234"/>
        </w:tabs>
        <w:spacing w:before="0" w:after="0" w:line="360" w:lineRule="auto"/>
        <w:ind w:left="420" w:firstLine="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698BF890">
      <w:pPr>
        <w:shd w:val="clear" w:color="auto" w:fill="auto"/>
        <w:spacing w:before="0" w:after="0" w:line="360" w:lineRule="auto"/>
        <w:ind w:left="420" w:hanging="420"/>
        <w:jc w:val="left"/>
        <w:textAlignment w:val="center"/>
        <w:rPr>
          <w:sz w:val="21"/>
        </w:rPr>
      </w:pPr>
      <w:r>
        <w:rPr>
          <w:sz w:val="21"/>
        </w:rPr>
        <w:t>21．张某婚后于2024年使用王某1973年发表的一幅画作为某产品设计外现造型，经申请获得了外观设计专利，随后他因该设计在本市2024年设计大赛中荣获二等奖，奖金3万元。赛后，张某深感年事已高，膝下又无子女，便与邻居赵某签订了遗赠扶养协议。下列说法正确的是（</w:t>
      </w:r>
      <w:r>
        <w:rPr>
          <w:rFonts w:ascii="Times New Roman" w:eastAsia="Times New Roman" w:hAnsi="Times New Roman" w:cs="Times New Roman"/>
          <w:kern w:val="0"/>
          <w:sz w:val="24"/>
          <w:szCs w:val="24"/>
        </w:rPr>
        <w:t>   </w:t>
      </w:r>
      <w:r>
        <w:rPr>
          <w:sz w:val="21"/>
        </w:rPr>
        <w:t>）。</w:t>
      </w:r>
    </w:p>
    <w:p w14:paraId="65863016">
      <w:pPr>
        <w:shd w:val="clear" w:color="auto" w:fill="auto"/>
        <w:spacing w:before="0" w:after="0" w:line="360" w:lineRule="auto"/>
        <w:ind w:left="420" w:firstLine="0"/>
        <w:jc w:val="left"/>
        <w:textAlignment w:val="center"/>
        <w:rPr>
          <w:sz w:val="21"/>
        </w:rPr>
      </w:pPr>
      <w:r>
        <w:rPr>
          <w:sz w:val="21"/>
        </w:rPr>
        <w:t>①张某的配偶对这3万元奖金享有共有权，其配偶是张某的法定继承人</w:t>
      </w:r>
    </w:p>
    <w:p w14:paraId="1002F907">
      <w:pPr>
        <w:shd w:val="clear" w:color="auto" w:fill="auto"/>
        <w:spacing w:before="0" w:after="0" w:line="360" w:lineRule="auto"/>
        <w:ind w:left="420" w:firstLine="0"/>
        <w:jc w:val="left"/>
        <w:textAlignment w:val="center"/>
        <w:rPr>
          <w:sz w:val="21"/>
        </w:rPr>
      </w:pPr>
      <w:r>
        <w:rPr>
          <w:sz w:val="21"/>
        </w:rPr>
        <w:t>②张某的专利设计图纸著作权的保护期为50年、专利权保护期为15年</w:t>
      </w:r>
    </w:p>
    <w:p w14:paraId="27E7DE68">
      <w:pPr>
        <w:shd w:val="clear" w:color="auto" w:fill="auto"/>
        <w:spacing w:before="0" w:after="0" w:line="360" w:lineRule="auto"/>
        <w:ind w:left="420" w:firstLine="0"/>
        <w:jc w:val="left"/>
        <w:textAlignment w:val="center"/>
        <w:rPr>
          <w:sz w:val="21"/>
        </w:rPr>
      </w:pPr>
      <w:r>
        <w:rPr>
          <w:sz w:val="21"/>
        </w:rPr>
        <w:t>③若王某因著作权受侵犯起诉张某，关于侵权事实的举证责任在王某</w:t>
      </w:r>
    </w:p>
    <w:p w14:paraId="5DA72181">
      <w:pPr>
        <w:shd w:val="clear" w:color="auto" w:fill="auto"/>
        <w:spacing w:before="0" w:after="0" w:line="360" w:lineRule="auto"/>
        <w:ind w:left="420" w:firstLine="0"/>
        <w:jc w:val="left"/>
        <w:textAlignment w:val="center"/>
        <w:rPr>
          <w:sz w:val="21"/>
        </w:rPr>
      </w:pPr>
      <w:r>
        <w:rPr>
          <w:sz w:val="21"/>
        </w:rPr>
        <w:t>④邻居赵某若履行对张某的赡养义务，则将来可依法继承张某的遗产</w:t>
      </w:r>
    </w:p>
    <w:p w14:paraId="13CFFAF2">
      <w:pPr>
        <w:shd w:val="clear" w:color="auto" w:fill="auto"/>
        <w:tabs>
          <w:tab w:val="left" w:pos="2078"/>
          <w:tab w:val="left" w:pos="4156"/>
          <w:tab w:val="left" w:pos="6234"/>
        </w:tabs>
        <w:spacing w:before="0" w:after="0" w:line="360" w:lineRule="auto"/>
        <w:ind w:left="420" w:firstLine="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6B58A72C">
      <w:pPr>
        <w:shd w:val="clear" w:color="auto" w:fill="auto"/>
        <w:spacing w:before="0" w:after="0" w:line="360" w:lineRule="auto"/>
        <w:ind w:left="420" w:hanging="420"/>
        <w:jc w:val="left"/>
        <w:textAlignment w:val="center"/>
        <w:rPr>
          <w:sz w:val="21"/>
        </w:rPr>
      </w:pPr>
      <w:r>
        <w:rPr>
          <w:sz w:val="21"/>
        </w:rPr>
        <w:t>22．春节前后，中国AI公司深度求索的大模型DeepSeek-R1火爆全网。远低于行业平均成本的研发投入，低能耗运算、多语言适配等关键技术的突破，DeepSeek展现出的“高性价比创新”不仅有利于推进中国式现代化，也将推动人工智能技术在全球的普遍应用。对此，下列分析正确的是（  ）</w:t>
      </w:r>
    </w:p>
    <w:p w14:paraId="7837EDE8">
      <w:pPr>
        <w:shd w:val="clear" w:color="auto" w:fill="auto"/>
        <w:spacing w:before="0" w:after="0" w:line="360" w:lineRule="auto"/>
        <w:ind w:left="420" w:firstLine="0"/>
        <w:jc w:val="left"/>
        <w:textAlignment w:val="center"/>
        <w:rPr>
          <w:sz w:val="21"/>
        </w:rPr>
      </w:pPr>
      <w:r>
        <w:rPr>
          <w:sz w:val="21"/>
        </w:rPr>
        <w:t>①Deepseek-R1与人工智能技术的具体技术产品构成属种关系</w:t>
      </w:r>
    </w:p>
    <w:p w14:paraId="20036F2E">
      <w:pPr>
        <w:shd w:val="clear" w:color="auto" w:fill="auto"/>
        <w:spacing w:before="0" w:after="0" w:line="360" w:lineRule="auto"/>
        <w:ind w:left="420" w:firstLine="0"/>
        <w:jc w:val="left"/>
        <w:textAlignment w:val="center"/>
        <w:rPr>
          <w:sz w:val="21"/>
        </w:rPr>
      </w:pPr>
      <w:r>
        <w:rPr>
          <w:sz w:val="21"/>
        </w:rPr>
        <w:t>②中国人工智能技术的发展是中国式现代化的必要条件</w:t>
      </w:r>
    </w:p>
    <w:p w14:paraId="3C7B5292">
      <w:pPr>
        <w:shd w:val="clear" w:color="auto" w:fill="auto"/>
        <w:spacing w:before="0" w:after="0" w:line="360" w:lineRule="auto"/>
        <w:ind w:left="420" w:firstLine="0"/>
        <w:jc w:val="left"/>
        <w:textAlignment w:val="center"/>
        <w:rPr>
          <w:sz w:val="21"/>
        </w:rPr>
      </w:pPr>
      <w:r>
        <w:rPr>
          <w:sz w:val="21"/>
        </w:rPr>
        <w:t>③DeepSeek的成功离不开对已有人工智能技术的全盘否定</w:t>
      </w:r>
    </w:p>
    <w:p w14:paraId="1F4C0129">
      <w:pPr>
        <w:shd w:val="clear" w:color="auto" w:fill="auto"/>
        <w:spacing w:before="0" w:after="0" w:line="360" w:lineRule="auto"/>
        <w:ind w:left="420" w:firstLine="0"/>
        <w:jc w:val="left"/>
        <w:textAlignment w:val="center"/>
        <w:rPr>
          <w:sz w:val="21"/>
        </w:rPr>
      </w:pPr>
      <w:r>
        <w:rPr>
          <w:sz w:val="21"/>
        </w:rPr>
        <w:t>④立足整体，多语言适配帮助全球在人工智能中平等受益</w:t>
      </w:r>
    </w:p>
    <w:p w14:paraId="47AEA2C5">
      <w:pPr>
        <w:shd w:val="clear" w:color="auto" w:fill="auto"/>
        <w:tabs>
          <w:tab w:val="left" w:pos="2078"/>
          <w:tab w:val="left" w:pos="4156"/>
          <w:tab w:val="left" w:pos="6234"/>
        </w:tabs>
        <w:spacing w:before="0" w:after="0" w:line="360" w:lineRule="auto"/>
        <w:ind w:left="420" w:firstLine="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2A859577">
      <w:pPr>
        <w:shd w:val="clear" w:color="auto" w:fill="auto"/>
        <w:spacing w:before="0" w:after="0" w:line="360" w:lineRule="auto"/>
        <w:ind w:left="420" w:hanging="420"/>
        <w:jc w:val="left"/>
        <w:textAlignment w:val="center"/>
        <w:rPr>
          <w:sz w:val="21"/>
        </w:rPr>
      </w:pPr>
      <w:r>
        <w:rPr>
          <w:sz w:val="21"/>
        </w:rPr>
        <w:t>23．在公共场所，安全通道标识通常采用绿色背景和白色图案。某同学对此产生了疑问：“为什么安全通道标识是绿色的，而不是其他颜色？”为此，他查阅了如下相关资料。</w:t>
      </w:r>
    </w:p>
    <w:tbl>
      <w:tblPr>
        <w:tblStyle w:val="TableNormal"/>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2160"/>
        <w:gridCol w:w="6165"/>
      </w:tblGrid>
      <w:tr w14:paraId="4C483006">
        <w:tblPrEx>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jc w:val="center"/>
        </w:trPr>
        <w:tc>
          <w:tcPr>
            <w:tcW w:w="2040" w:type="dxa"/>
            <w:vMerge w:val="restart"/>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5EE5ABFB">
            <w:pPr>
              <w:shd w:val="clear" w:color="auto" w:fill="auto"/>
              <w:spacing w:before="0" w:after="0" w:line="288" w:lineRule="auto"/>
              <w:ind w:left="0" w:right="0" w:firstLine="0"/>
              <w:jc w:val="both"/>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1209675" cy="981075"/>
                  <wp:effectExtent l="0" t="0" r="9525" b="9525"/>
                  <wp:docPr id="100009" name="图片 100009"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
                          <pic:cNvPicPr>
                            <a:picLocks noChangeAspect="1"/>
                          </pic:cNvPicPr>
                        </pic:nvPicPr>
                        <pic:blipFill>
                          <a:blip xmlns:r="http://schemas.openxmlformats.org/officeDocument/2006/relationships" r:embed="rId9"/>
                          <a:stretch>
                            <a:fillRect/>
                          </a:stretch>
                        </pic:blipFill>
                        <pic:spPr>
                          <a:xfrm>
                            <a:off x="0" y="0"/>
                            <a:ext cx="1209675" cy="981075"/>
                          </a:xfrm>
                          <a:prstGeom prst="rect">
                            <a:avLst/>
                          </a:prstGeom>
                        </pic:spPr>
                      </pic:pic>
                    </a:graphicData>
                  </a:graphic>
                </wp:inline>
              </w:drawing>
            </w:r>
          </w:p>
        </w:tc>
        <w:tc>
          <w:tcPr>
            <w:tcW w:w="627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20882095">
            <w:pPr>
              <w:shd w:val="clear" w:color="auto" w:fill="auto"/>
              <w:spacing w:before="0" w:after="0" w:line="288" w:lineRule="auto"/>
              <w:ind w:left="0" w:right="0" w:firstLine="0"/>
              <w:jc w:val="both"/>
              <w:textAlignment w:val="center"/>
              <w:rPr>
                <w:sz w:val="21"/>
              </w:rPr>
            </w:pPr>
            <w:r>
              <w:rPr>
                <w:sz w:val="21"/>
              </w:rPr>
              <w:t>光线适应性：绿色在白天和夜晚的光线下都能保持较好的可见性，尤其是在烟雾或昏暗环境中，绿色标志的辨识度较高。</w:t>
            </w:r>
          </w:p>
        </w:tc>
      </w:tr>
      <w:tr w14:paraId="3E856199">
        <w:tblPrEx>
          <w:tblW w:w="8325" w:type="dxa"/>
          <w:jc w:val="center"/>
          <w:tblCellMar>
            <w:top w:w="120" w:type="dxa"/>
            <w:left w:w="120" w:type="dxa"/>
            <w:bottom w:w="120" w:type="dxa"/>
            <w:right w:w="120" w:type="dxa"/>
          </w:tblCellMar>
        </w:tblPrEx>
        <w:trPr>
          <w:jc w:val="center"/>
        </w:trPr>
        <w:tc>
          <w:tcPr>
            <w:vMerge/>
            <w:tcBorders>
              <w:top w:val="single" w:sz="6" w:space="0" w:color="000000"/>
              <w:left w:val="single" w:sz="6" w:space="0" w:color="000000"/>
              <w:bottom w:val="single" w:sz="6" w:space="0" w:color="000000"/>
              <w:right w:val="single" w:sz="6" w:space="0" w:color="000000"/>
            </w:tcBorders>
          </w:tcPr>
          <w:p w14:paraId="33A0A4E7">
            <w:pPr>
              <w:shd w:val="clear" w:color="auto" w:fill="auto"/>
              <w:spacing w:line="360" w:lineRule="auto"/>
              <w:jc w:val="both"/>
              <w:textAlignment w:val="center"/>
              <w:rPr>
                <w:sz w:val="21"/>
              </w:rPr>
            </w:pPr>
          </w:p>
        </w:tc>
        <w:tc>
          <w:tcPr>
            <w:tcW w:w="733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4A6043A8">
            <w:pPr>
              <w:shd w:val="clear" w:color="auto" w:fill="auto"/>
              <w:spacing w:before="0" w:after="0" w:line="288" w:lineRule="auto"/>
              <w:ind w:left="0" w:right="0" w:firstLine="0"/>
              <w:jc w:val="both"/>
              <w:textAlignment w:val="center"/>
              <w:rPr>
                <w:sz w:val="21"/>
              </w:rPr>
            </w:pPr>
            <w:r>
              <w:rPr>
                <w:sz w:val="21"/>
              </w:rPr>
              <w:t>心理效应：绿色象征着希望和生命，能够增强人们对逃生路线的信心。</w:t>
            </w:r>
          </w:p>
        </w:tc>
      </w:tr>
      <w:tr w14:paraId="1F631594">
        <w:tblPrEx>
          <w:tblW w:w="8325" w:type="dxa"/>
          <w:jc w:val="center"/>
          <w:tblCellMar>
            <w:top w:w="120" w:type="dxa"/>
            <w:left w:w="120" w:type="dxa"/>
            <w:bottom w:w="120" w:type="dxa"/>
            <w:right w:w="120" w:type="dxa"/>
          </w:tblCellMar>
        </w:tblPrEx>
        <w:trPr>
          <w:jc w:val="center"/>
        </w:trPr>
        <w:tc>
          <w:tcPr>
            <w:vMerge/>
            <w:tcBorders>
              <w:top w:val="single" w:sz="6" w:space="0" w:color="000000"/>
              <w:left w:val="single" w:sz="6" w:space="0" w:color="000000"/>
              <w:bottom w:val="single" w:sz="6" w:space="0" w:color="000000"/>
              <w:right w:val="single" w:sz="6" w:space="0" w:color="000000"/>
            </w:tcBorders>
          </w:tcPr>
          <w:p w14:paraId="101BBF8B">
            <w:pPr>
              <w:shd w:val="clear" w:color="auto" w:fill="auto"/>
              <w:spacing w:line="360" w:lineRule="auto"/>
              <w:jc w:val="both"/>
              <w:textAlignment w:val="center"/>
              <w:rPr>
                <w:sz w:val="21"/>
              </w:rPr>
            </w:pPr>
          </w:p>
        </w:tc>
        <w:tc>
          <w:tcPr>
            <w:tcW w:w="733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7FB69BF1">
            <w:pPr>
              <w:shd w:val="clear" w:color="auto" w:fill="auto"/>
              <w:spacing w:before="0" w:after="0" w:line="288" w:lineRule="auto"/>
              <w:ind w:left="0" w:right="0" w:firstLine="0"/>
              <w:jc w:val="both"/>
              <w:textAlignment w:val="center"/>
              <w:rPr>
                <w:sz w:val="21"/>
              </w:rPr>
            </w:pPr>
            <w:r>
              <w:rPr>
                <w:sz w:val="21"/>
              </w:rPr>
              <w:t>反光性能：安全出口标志采用高反射率材料，绿色与反光材料的结合能够在夜间或光线不足的情况下提供良好的可视性。</w:t>
            </w:r>
          </w:p>
        </w:tc>
      </w:tr>
    </w:tbl>
    <w:p w14:paraId="2C99201D">
      <w:pPr>
        <w:shd w:val="clear" w:color="auto" w:fill="auto"/>
        <w:spacing w:before="0" w:after="0" w:line="360" w:lineRule="auto"/>
        <w:ind w:left="420" w:firstLine="0"/>
        <w:jc w:val="left"/>
        <w:textAlignment w:val="center"/>
        <w:rPr>
          <w:sz w:val="21"/>
        </w:rPr>
      </w:pPr>
      <w:r>
        <w:rPr>
          <w:sz w:val="21"/>
        </w:rPr>
        <w:t>安全通道标识是绿色，主要是（</w:t>
      </w:r>
      <w:r>
        <w:rPr>
          <w:rFonts w:ascii="Times New Roman" w:eastAsia="Times New Roman" w:hAnsi="Times New Roman" w:cs="Times New Roman"/>
          <w:kern w:val="0"/>
          <w:sz w:val="24"/>
          <w:szCs w:val="24"/>
        </w:rPr>
        <w:t>    </w:t>
      </w:r>
      <w:r>
        <w:rPr>
          <w:sz w:val="21"/>
        </w:rPr>
        <w:t>）</w:t>
      </w:r>
    </w:p>
    <w:p w14:paraId="6C7E30A0">
      <w:pPr>
        <w:shd w:val="clear" w:color="auto" w:fill="auto"/>
        <w:spacing w:before="0" w:after="0" w:line="360" w:lineRule="auto"/>
        <w:ind w:left="420" w:firstLine="0"/>
        <w:jc w:val="left"/>
        <w:textAlignment w:val="center"/>
        <w:rPr>
          <w:sz w:val="21"/>
        </w:rPr>
      </w:pPr>
      <w:r>
        <w:rPr>
          <w:sz w:val="21"/>
        </w:rPr>
        <w:t>A．由绿色象征意义展开联想，决定了安全通道标识的颜色</w:t>
      </w:r>
    </w:p>
    <w:p w14:paraId="3CB9E01F">
      <w:pPr>
        <w:shd w:val="clear" w:color="auto" w:fill="auto"/>
        <w:spacing w:before="0" w:after="0" w:line="360" w:lineRule="auto"/>
        <w:ind w:left="420" w:firstLine="0"/>
        <w:jc w:val="left"/>
        <w:textAlignment w:val="center"/>
        <w:rPr>
          <w:sz w:val="21"/>
        </w:rPr>
      </w:pPr>
      <w:r>
        <w:rPr>
          <w:sz w:val="21"/>
        </w:rPr>
        <w:t>B．运用信息交叉法，将三个要素进行组合，绿色最为合理</w:t>
      </w:r>
    </w:p>
    <w:p w14:paraId="57C2EAE1">
      <w:pPr>
        <w:shd w:val="clear" w:color="auto" w:fill="auto"/>
        <w:spacing w:before="0" w:after="0" w:line="360" w:lineRule="auto"/>
        <w:ind w:left="420" w:firstLine="0"/>
        <w:jc w:val="left"/>
        <w:textAlignment w:val="center"/>
        <w:rPr>
          <w:sz w:val="21"/>
        </w:rPr>
      </w:pPr>
      <w:r>
        <w:rPr>
          <w:sz w:val="21"/>
        </w:rPr>
        <w:t>C．运用求同法，发现光线适应性与颜色选择之间有因果关系</w:t>
      </w:r>
    </w:p>
    <w:p w14:paraId="684FD55D">
      <w:pPr>
        <w:widowControl/>
        <w:spacing w:before="0" w:after="0" w:line="360" w:lineRule="auto"/>
        <w:ind w:left="420" w:firstLine="0"/>
        <w:jc w:val="both"/>
        <w:textAlignment w:val="center"/>
        <w:rPr>
          <w:sz w:val="21"/>
        </w:rPr>
      </w:pPr>
      <w:r>
        <w:rPr>
          <w:sz w:val="21"/>
        </w:rPr>
        <w:t>D．分析绿色和反光材料的特性，通过类比推理确定标识颜色</w:t>
      </w:r>
    </w:p>
    <w:p w14:paraId="21D5ABB9">
      <w:pPr>
        <w:widowControl/>
        <w:spacing w:before="0" w:after="0" w:line="360" w:lineRule="auto"/>
        <w:ind w:left="420" w:firstLine="0"/>
        <w:jc w:val="center"/>
        <w:textAlignment w:val="center"/>
        <w:rPr>
          <w:color w:val="000000"/>
        </w:rPr>
      </w:pPr>
      <w:r>
        <w:rPr>
          <w:rFonts w:ascii="Times New Roman" w:hAnsi="Times New Roman" w:cs="Times New Roman"/>
          <w:sz w:val="28"/>
          <w:szCs w:val="28"/>
        </w:rPr>
        <w:t>第Ⅱ卷</w:t>
      </w:r>
      <w:r>
        <w:rPr>
          <w:rFonts w:ascii="宋体" w:eastAsia="宋体" w:hAnsi="宋体" w:cs="宋体"/>
          <w:b/>
          <w:color w:val="000000"/>
          <w:sz w:val="28"/>
          <w:szCs w:val="28"/>
        </w:rPr>
        <w:t>非选择题部分</w:t>
      </w:r>
    </w:p>
    <w:p w14:paraId="0B371558">
      <w:pPr>
        <w:keepNext w:val="0"/>
        <w:keepLines w:val="0"/>
        <w:pageBreakBefore w:val="0"/>
        <w:widowControl w:val="0"/>
        <w:kinsoku/>
        <w:wordWrap/>
        <w:topLinePunct w:val="0"/>
        <w:autoSpaceDE/>
        <w:autoSpaceDN/>
        <w:bidi w:val="0"/>
        <w:snapToGrid/>
        <w:spacing w:before="0" w:after="0" w:line="360" w:lineRule="auto"/>
        <w:ind w:left="0" w:firstLine="0"/>
        <w:rPr>
          <w:sz w:val="21"/>
        </w:rPr>
      </w:pPr>
      <w:r>
        <w:rPr>
          <w:rFonts w:eastAsia="黑体" w:cs="Times New Roman" w:hint="eastAsia"/>
          <w:sz w:val="24"/>
          <w:szCs w:val="24"/>
          <w:lang w:val="en-US" w:eastAsia="zh-CN"/>
        </w:rPr>
        <w:t>三</w:t>
      </w:r>
      <w:r>
        <w:rPr>
          <w:rFonts w:ascii="Times New Roman" w:eastAsia="黑体" w:hAnsi="Times New Roman" w:cs="Times New Roman" w:hint="default"/>
          <w:sz w:val="24"/>
          <w:szCs w:val="24"/>
        </w:rPr>
        <w:t>、非选择题：本题共</w:t>
      </w:r>
      <w:r>
        <w:rPr>
          <w:rFonts w:eastAsia="黑体" w:cs="Times New Roman" w:hint="eastAsia"/>
          <w:sz w:val="24"/>
          <w:szCs w:val="24"/>
          <w:lang w:val="en-US" w:eastAsia="zh-CN"/>
        </w:rPr>
        <w:t>4</w:t>
      </w:r>
      <w:r>
        <w:rPr>
          <w:rFonts w:ascii="Times New Roman" w:eastAsia="黑体" w:hAnsi="Times New Roman" w:cs="Times New Roman" w:hint="default"/>
          <w:sz w:val="24"/>
          <w:szCs w:val="24"/>
        </w:rPr>
        <w:t>小题，共</w:t>
      </w:r>
      <w:r>
        <w:rPr>
          <w:rFonts w:eastAsia="黑体" w:cs="Times New Roman" w:hint="eastAsia"/>
          <w:sz w:val="24"/>
          <w:szCs w:val="24"/>
          <w:lang w:val="en-US" w:eastAsia="zh-CN"/>
        </w:rPr>
        <w:t>47</w:t>
      </w:r>
      <w:r>
        <w:rPr>
          <w:rFonts w:ascii="Times New Roman" w:eastAsia="黑体" w:hAnsi="Times New Roman" w:cs="Times New Roman" w:hint="default"/>
          <w:sz w:val="24"/>
          <w:szCs w:val="24"/>
        </w:rPr>
        <w:t>分。</w:t>
      </w:r>
    </w:p>
    <w:p w14:paraId="71B0A99F">
      <w:pPr>
        <w:shd w:val="clear" w:color="auto" w:fill="auto"/>
        <w:spacing w:before="0" w:after="0" w:line="360" w:lineRule="auto"/>
        <w:ind w:left="420" w:hanging="420"/>
        <w:jc w:val="left"/>
        <w:textAlignment w:val="center"/>
        <w:rPr>
          <w:sz w:val="21"/>
        </w:rPr>
      </w:pPr>
      <w:r>
        <w:rPr>
          <w:sz w:val="21"/>
        </w:rPr>
        <w:t>24．</w:t>
      </w:r>
      <w:r>
        <w:rPr>
          <w:rFonts w:ascii="宋体" w:eastAsia="宋体" w:hAnsi="宋体" w:cs="宋体" w:hint="eastAsia"/>
          <w:sz w:val="24"/>
          <w:szCs w:val="24"/>
        </w:rPr>
        <w:t>（</w:t>
      </w:r>
      <w:r>
        <w:rPr>
          <w:rFonts w:ascii="宋体" w:hAnsi="宋体" w:cs="宋体" w:hint="eastAsia"/>
          <w:sz w:val="24"/>
          <w:szCs w:val="24"/>
          <w:lang w:val="en-US" w:eastAsia="zh-CN"/>
        </w:rPr>
        <w:t>14</w:t>
      </w:r>
      <w:r>
        <w:rPr>
          <w:rFonts w:ascii="宋体" w:eastAsia="宋体" w:hAnsi="宋体" w:cs="宋体" w:hint="eastAsia"/>
          <w:sz w:val="24"/>
          <w:szCs w:val="24"/>
        </w:rPr>
        <w:t>分）</w:t>
      </w:r>
      <w:r>
        <w:rPr>
          <w:sz w:val="21"/>
        </w:rPr>
        <w:t>阅读材料，完成下列要求。</w:t>
      </w:r>
    </w:p>
    <w:p w14:paraId="115B89F6">
      <w:pPr>
        <w:shd w:val="clear" w:color="auto" w:fill="auto"/>
        <w:spacing w:before="0" w:after="0" w:line="360" w:lineRule="auto"/>
        <w:ind w:left="420" w:firstLine="0"/>
        <w:jc w:val="left"/>
        <w:textAlignment w:val="center"/>
        <w:rPr>
          <w:sz w:val="21"/>
        </w:rPr>
      </w:pPr>
      <w:r>
        <w:rPr>
          <w:rFonts w:ascii="楷体" w:eastAsia="楷体" w:hAnsi="楷体" w:cs="楷体"/>
          <w:sz w:val="21"/>
        </w:rPr>
        <w:t>民族要复兴，乡村必振兴。党的二十届三中全会提出：“坚持农业农村优先发展，完善乡村振兴投入机制。”</w:t>
      </w:r>
    </w:p>
    <w:p w14:paraId="70AE56AF">
      <w:pPr>
        <w:shd w:val="clear" w:color="auto" w:fill="auto"/>
        <w:spacing w:before="0" w:after="0" w:line="360" w:lineRule="auto"/>
        <w:ind w:left="420" w:firstLine="0"/>
        <w:jc w:val="left"/>
        <w:textAlignment w:val="center"/>
        <w:rPr>
          <w:sz w:val="21"/>
        </w:rPr>
      </w:pPr>
      <w:r>
        <w:rPr>
          <w:rFonts w:ascii="楷体" w:eastAsia="楷体" w:hAnsi="楷体" w:cs="楷体"/>
          <w:sz w:val="21"/>
        </w:rPr>
        <w:t>材料一</w:t>
      </w:r>
      <w:r>
        <w:rPr>
          <w:rFonts w:ascii="Times New Roman" w:eastAsia="Times New Roman" w:hAnsi="Times New Roman" w:cs="Times New Roman"/>
          <w:kern w:val="0"/>
          <w:sz w:val="24"/>
          <w:szCs w:val="24"/>
        </w:rPr>
        <w:t>  </w:t>
      </w:r>
      <w:r>
        <w:rPr>
          <w:rFonts w:ascii="楷体" w:eastAsia="楷体" w:hAnsi="楷体" w:cs="楷体"/>
          <w:sz w:val="21"/>
        </w:rPr>
        <w:t>某村以前没有支柱产业，村集体收入几乎为零。如今，该村深度整合资源、资产、资金，建立健全“二五三”三方利益分配机制，走出了一条“村合作社+企业+农户”的集体经济发展路子。该村流转农户土地对外出租，因地制宜发展民俗型、休闲型、科普型等主题体验项目，将农耕文化与研学教育有机融合，带动“亲子文化体验型经济”发展，每逢节假日都吸引城区游客前来参加体验，实现了集体增收10余万元。</w:t>
      </w:r>
    </w:p>
    <w:p w14:paraId="19FFB382">
      <w:pPr>
        <w:shd w:val="clear" w:color="auto" w:fill="auto"/>
        <w:spacing w:before="0" w:after="0" w:line="360" w:lineRule="auto"/>
        <w:ind w:left="420" w:firstLine="0"/>
        <w:jc w:val="left"/>
        <w:textAlignment w:val="center"/>
        <w:rPr>
          <w:sz w:val="21"/>
        </w:rPr>
      </w:pPr>
      <w:r>
        <w:rPr>
          <w:sz w:val="21"/>
        </w:rPr>
        <w:t>(1)结合材料，运用《经济与社会》知识，说明该村是如何“破壳”走出一条特色乡村振兴道路的。</w:t>
      </w:r>
      <w:r>
        <w:rPr>
          <w:rFonts w:ascii="宋体" w:eastAsia="宋体" w:hAnsi="宋体" w:cs="宋体" w:hint="eastAsia"/>
          <w:sz w:val="24"/>
          <w:szCs w:val="24"/>
        </w:rPr>
        <w:t>（</w:t>
      </w:r>
      <w:r>
        <w:rPr>
          <w:rFonts w:ascii="宋体" w:hAnsi="宋体" w:cs="宋体" w:hint="eastAsia"/>
          <w:sz w:val="24"/>
          <w:szCs w:val="24"/>
          <w:lang w:val="en-US" w:eastAsia="zh-CN"/>
        </w:rPr>
        <w:t>6</w:t>
      </w:r>
      <w:r>
        <w:rPr>
          <w:rFonts w:ascii="宋体" w:eastAsia="宋体" w:hAnsi="宋体" w:cs="宋体" w:hint="eastAsia"/>
          <w:sz w:val="24"/>
          <w:szCs w:val="24"/>
        </w:rPr>
        <w:t>分）</w:t>
      </w:r>
    </w:p>
    <w:p w14:paraId="52F4C357">
      <w:pPr>
        <w:shd w:val="clear" w:color="auto" w:fill="auto"/>
        <w:spacing w:before="0" w:after="0" w:line="360" w:lineRule="auto"/>
        <w:ind w:left="420" w:firstLine="0"/>
        <w:jc w:val="left"/>
        <w:textAlignment w:val="center"/>
        <w:rPr>
          <w:sz w:val="21"/>
        </w:rPr>
      </w:pPr>
      <w:r>
        <w:rPr>
          <w:rFonts w:ascii="楷体" w:eastAsia="楷体" w:hAnsi="楷体" w:cs="楷体"/>
          <w:sz w:val="21"/>
        </w:rPr>
        <w:t>材料二</w:t>
      </w:r>
      <w:r>
        <w:rPr>
          <w:rFonts w:ascii="Times New Roman" w:eastAsia="Times New Roman" w:hAnsi="Times New Roman" w:cs="Times New Roman"/>
          <w:kern w:val="0"/>
          <w:sz w:val="24"/>
          <w:szCs w:val="24"/>
        </w:rPr>
        <w:t>  </w:t>
      </w:r>
      <w:r>
        <w:rPr>
          <w:rFonts w:ascii="楷体" w:eastAsia="楷体" w:hAnsi="楷体" w:cs="楷体"/>
          <w:sz w:val="21"/>
        </w:rPr>
        <w:t>2024年以来，某镇人大积极探索拓宽基层治理渠道和形式，创新开展“人大+老屋说事”。借助某村充满地域特色的“老屋”文化建立人大代表活动联络站，以发生在群众房前屋后的“琐碎事”、急难愁盼的“烦心事”和涉及群众利益的“民生事”为议事主题，有事大家“说”、民事一起“议”、定事马上“办”、办事全程“督”、好坏大家“评”。该村以网格为基础，在原有网格员的基础上，又实行了“老屋”人大代表一对一结对机制，不断延伸服务触角，初步形成了“风吹草动有人知、家长里短有人问”的村级治理新格局。人大代表们定期在“老屋”溯源本村历史文化，打造融合廉洁文化、科普文化、微湖风情、娱乐健身等文化内涵的幸福主题广场。</w:t>
      </w:r>
    </w:p>
    <w:p w14:paraId="15EE766F">
      <w:pPr>
        <w:numPr>
          <w:numId w:val="0"/>
        </w:numPr>
        <w:shd w:val="clear" w:color="auto" w:fill="auto"/>
        <w:spacing w:before="0" w:after="0" w:line="360" w:lineRule="auto"/>
        <w:ind w:left="420" w:leftChars="0"/>
        <w:jc w:val="left"/>
        <w:textAlignment w:val="center"/>
        <w:rPr>
          <w:rFonts w:ascii="宋体" w:eastAsia="宋体" w:hAnsi="宋体" w:cs="宋体" w:hint="eastAsia"/>
          <w:sz w:val="24"/>
          <w:szCs w:val="24"/>
        </w:rPr>
      </w:pPr>
      <w:r>
        <w:rPr>
          <w:rFonts w:hint="eastAsia"/>
          <w:sz w:val="21"/>
          <w:lang w:eastAsia="zh-CN"/>
        </w:rPr>
        <w:t>（</w:t>
      </w:r>
      <w:r>
        <w:rPr>
          <w:rFonts w:hint="eastAsia"/>
          <w:sz w:val="21"/>
          <w:lang w:val="en-US" w:eastAsia="zh-CN"/>
        </w:rPr>
        <w:t>2</w:t>
      </w:r>
      <w:r>
        <w:rPr>
          <w:rFonts w:hint="eastAsia"/>
          <w:sz w:val="21"/>
          <w:lang w:eastAsia="zh-CN"/>
        </w:rPr>
        <w:t>）</w:t>
      </w:r>
      <w:r>
        <w:rPr>
          <w:sz w:val="21"/>
        </w:rPr>
        <w:t>结合材料，运用《政治与法治》知识，说明“人大+老屋说事”机制对乡村治理的作用。</w:t>
      </w:r>
      <w:r>
        <w:rPr>
          <w:rFonts w:ascii="宋体" w:eastAsia="宋体" w:hAnsi="宋体" w:cs="宋体" w:hint="eastAsia"/>
          <w:sz w:val="24"/>
          <w:szCs w:val="24"/>
        </w:rPr>
        <w:t>（</w:t>
      </w:r>
      <w:r>
        <w:rPr>
          <w:rFonts w:ascii="宋体" w:hAnsi="宋体" w:cs="宋体" w:hint="eastAsia"/>
          <w:sz w:val="24"/>
          <w:szCs w:val="24"/>
          <w:lang w:val="en-US" w:eastAsia="zh-CN"/>
        </w:rPr>
        <w:t>8</w:t>
      </w:r>
      <w:r>
        <w:rPr>
          <w:rFonts w:ascii="宋体" w:eastAsia="宋体" w:hAnsi="宋体" w:cs="宋体" w:hint="eastAsia"/>
          <w:sz w:val="24"/>
          <w:szCs w:val="24"/>
        </w:rPr>
        <w:t>分）</w:t>
      </w:r>
    </w:p>
    <w:p w14:paraId="15732058">
      <w:pPr>
        <w:widowControl w:val="0"/>
        <w:numPr>
          <w:ilvl w:val="0"/>
          <w:numId w:val="0"/>
        </w:numPr>
        <w:shd w:val="clear" w:color="auto" w:fill="auto"/>
        <w:spacing w:before="0" w:after="0" w:line="360" w:lineRule="auto"/>
        <w:jc w:val="left"/>
        <w:textAlignment w:val="center"/>
        <w:rPr>
          <w:rFonts w:ascii="宋体" w:eastAsia="宋体" w:hAnsi="宋体" w:cs="宋体" w:hint="eastAsia"/>
          <w:sz w:val="24"/>
          <w:szCs w:val="24"/>
        </w:rPr>
      </w:pPr>
    </w:p>
    <w:p w14:paraId="0F236236">
      <w:pPr>
        <w:shd w:val="clear" w:color="auto" w:fill="auto"/>
        <w:spacing w:before="0" w:after="0" w:line="360" w:lineRule="auto"/>
        <w:ind w:left="420" w:hanging="420"/>
        <w:jc w:val="left"/>
        <w:textAlignment w:val="center"/>
        <w:rPr>
          <w:sz w:val="21"/>
        </w:rPr>
      </w:pPr>
      <w:r>
        <w:rPr>
          <w:sz w:val="21"/>
        </w:rPr>
        <w:t>25．</w:t>
      </w:r>
      <w:r>
        <w:rPr>
          <w:rFonts w:ascii="宋体" w:eastAsia="宋体" w:hAnsi="宋体" w:cs="宋体" w:hint="eastAsia"/>
          <w:sz w:val="24"/>
          <w:szCs w:val="24"/>
          <w:lang w:eastAsia="zh-CN"/>
        </w:rPr>
        <w:t>（</w:t>
      </w:r>
      <w:r>
        <w:rPr>
          <w:rFonts w:ascii="宋体" w:hAnsi="宋体" w:cs="宋体" w:hint="eastAsia"/>
          <w:sz w:val="24"/>
          <w:szCs w:val="24"/>
          <w:lang w:val="en-US" w:eastAsia="zh-CN"/>
        </w:rPr>
        <w:t>12</w:t>
      </w:r>
      <w:r>
        <w:rPr>
          <w:rFonts w:ascii="宋体" w:eastAsia="宋体" w:hAnsi="宋体" w:cs="宋体" w:hint="eastAsia"/>
          <w:sz w:val="24"/>
          <w:szCs w:val="24"/>
          <w:lang w:val="en-US" w:eastAsia="zh-CN"/>
        </w:rPr>
        <w:t>分）</w:t>
      </w:r>
      <w:r>
        <w:rPr>
          <w:sz w:val="21"/>
        </w:rPr>
        <w:t>阅读材料，回答问题。</w:t>
      </w:r>
    </w:p>
    <w:p w14:paraId="4431DD9C">
      <w:pPr>
        <w:shd w:val="clear" w:color="auto" w:fill="auto"/>
        <w:spacing w:before="0" w:after="0" w:line="360" w:lineRule="auto"/>
        <w:ind w:left="420" w:firstLine="0"/>
        <w:jc w:val="left"/>
        <w:textAlignment w:val="center"/>
        <w:rPr>
          <w:sz w:val="21"/>
        </w:rPr>
      </w:pPr>
      <w:r>
        <w:rPr>
          <w:rFonts w:ascii="楷体" w:eastAsia="楷体" w:hAnsi="楷体" w:cs="楷体"/>
          <w:sz w:val="21"/>
        </w:rPr>
        <w:t>人工智能（AI）是人类发展新领域。</w:t>
      </w:r>
    </w:p>
    <w:p w14:paraId="42B509AF">
      <w:pPr>
        <w:shd w:val="clear" w:color="auto" w:fill="auto"/>
        <w:spacing w:before="0" w:after="0" w:line="360" w:lineRule="auto"/>
        <w:ind w:left="420" w:firstLine="0"/>
        <w:jc w:val="left"/>
        <w:textAlignment w:val="center"/>
        <w:rPr>
          <w:sz w:val="21"/>
        </w:rPr>
      </w:pPr>
      <w:r>
        <w:rPr>
          <w:rFonts w:ascii="楷体" w:eastAsia="楷体" w:hAnsi="楷体" w:cs="楷体"/>
          <w:sz w:val="21"/>
        </w:rPr>
        <w:t>材料一</w:t>
      </w:r>
      <w:r>
        <w:rPr>
          <w:rFonts w:ascii="Times New Roman" w:eastAsia="Times New Roman" w:hAnsi="Times New Roman" w:cs="Times New Roman"/>
          <w:kern w:val="0"/>
          <w:sz w:val="24"/>
          <w:szCs w:val="24"/>
        </w:rPr>
        <w:t>  </w:t>
      </w:r>
      <w:r>
        <w:rPr>
          <w:rFonts w:ascii="楷体" w:eastAsia="楷体" w:hAnsi="楷体" w:cs="楷体"/>
          <w:sz w:val="21"/>
        </w:rPr>
        <w:t>人类社会发展的历史就是一部科技创新史。</w:t>
      </w:r>
    </w:p>
    <w:p w14:paraId="33138142">
      <w:pPr>
        <w:shd w:val="clear" w:color="auto" w:fill="auto"/>
        <w:spacing w:before="0" w:after="0" w:line="360" w:lineRule="auto"/>
        <w:ind w:left="420" w:firstLine="0"/>
        <w:jc w:val="left"/>
        <w:textAlignment w:val="center"/>
        <w:rPr>
          <w:sz w:val="21"/>
        </w:rPr>
      </w:pPr>
      <w:r>
        <w:rPr>
          <w:rFonts w:ascii="楷体" w:eastAsia="楷体" w:hAnsi="楷体" w:cs="楷体"/>
          <w:sz w:val="21"/>
        </w:rPr>
        <w:t>16世纪以前，影响人类生活的重大科技发明约有300项，其中中国人的发明占175项，中国四大发明更是造福全世界。</w:t>
      </w:r>
    </w:p>
    <w:p w14:paraId="326BF912">
      <w:pPr>
        <w:shd w:val="clear" w:color="auto" w:fill="auto"/>
        <w:spacing w:before="0" w:after="0" w:line="360" w:lineRule="auto"/>
        <w:ind w:left="420" w:firstLine="0"/>
        <w:jc w:val="left"/>
        <w:textAlignment w:val="center"/>
        <w:rPr>
          <w:sz w:val="21"/>
        </w:rPr>
      </w:pPr>
      <w:r>
        <w:rPr>
          <w:rFonts w:ascii="楷体" w:eastAsia="楷体" w:hAnsi="楷体" w:cs="楷体"/>
          <w:sz w:val="21"/>
        </w:rPr>
        <w:t>从18世纪第一次工业革命的机械化到19世纪第二次工业革命的电气化，再到20世纪第三次工业革命的信息化，一次次颠覆性的科技革新带来社会生产力的大解放，从根本上改变了人类历史的发展轨迹。</w:t>
      </w:r>
    </w:p>
    <w:p w14:paraId="78F14994">
      <w:pPr>
        <w:shd w:val="clear" w:color="auto" w:fill="auto"/>
        <w:spacing w:before="0" w:after="0" w:line="360" w:lineRule="auto"/>
        <w:ind w:left="420" w:firstLine="0"/>
        <w:jc w:val="left"/>
        <w:textAlignment w:val="center"/>
        <w:rPr>
          <w:sz w:val="21"/>
        </w:rPr>
      </w:pPr>
      <w:r>
        <w:rPr>
          <w:rFonts w:ascii="楷体" w:eastAsia="楷体" w:hAnsi="楷体" w:cs="楷体"/>
          <w:sz w:val="21"/>
        </w:rPr>
        <w:t>人工智能是新一轮科技革命和产业变革的重要驱动力量。面对这一发展机遇，加快发展新一代人工智能是我们赢得全球科技竞争主动权的重要战略抓手，是推动我国产业优化升级、生产力整体跃升的重要战略资源。</w:t>
      </w:r>
    </w:p>
    <w:p w14:paraId="201C022D">
      <w:pPr>
        <w:shd w:val="clear" w:color="auto" w:fill="auto"/>
        <w:spacing w:before="0" w:after="0" w:line="360" w:lineRule="auto"/>
        <w:ind w:left="420" w:firstLine="0"/>
        <w:jc w:val="left"/>
        <w:textAlignment w:val="center"/>
        <w:rPr>
          <w:sz w:val="21"/>
        </w:rPr>
      </w:pPr>
      <w:r>
        <w:rPr>
          <w:rFonts w:ascii="楷体" w:eastAsia="楷体" w:hAnsi="楷体" w:cs="楷体"/>
          <w:sz w:val="21"/>
        </w:rPr>
        <w:t>材料二</w:t>
      </w:r>
      <w:r>
        <w:rPr>
          <w:rFonts w:ascii="Times New Roman" w:eastAsia="Times New Roman" w:hAnsi="Times New Roman" w:cs="Times New Roman"/>
          <w:kern w:val="0"/>
          <w:sz w:val="24"/>
          <w:szCs w:val="24"/>
        </w:rPr>
        <w:t>  </w:t>
      </w:r>
      <w:r>
        <w:rPr>
          <w:rFonts w:ascii="楷体" w:eastAsia="楷体" w:hAnsi="楷体" w:cs="楷体"/>
          <w:sz w:val="21"/>
        </w:rPr>
        <w:t>应用“AI”有红线。</w:t>
      </w:r>
    </w:p>
    <w:p w14:paraId="0309D683">
      <w:pPr>
        <w:shd w:val="clear" w:color="auto" w:fill="auto"/>
        <w:spacing w:before="0" w:after="0" w:line="360" w:lineRule="auto"/>
        <w:ind w:left="420" w:firstLine="0"/>
        <w:jc w:val="left"/>
        <w:textAlignment w:val="center"/>
        <w:rPr>
          <w:sz w:val="21"/>
        </w:rPr>
      </w:pPr>
      <w:r>
        <w:rPr>
          <w:rFonts w:ascii="楷体" w:eastAsia="楷体" w:hAnsi="楷体" w:cs="楷体"/>
          <w:sz w:val="21"/>
        </w:rPr>
        <w:t>【案例】殷某是一名配音师，曾接受F文化传媒公司的委托录制录音制品，F公司为录音制品的著作权人。后F公司将殷某录音制品的音频提供给k软件公司，允许其以商业或非商业的用途使用、复制、修改数据用于其产品及服务。k公司以殷某的录音制品作为素材进行AI化处理，生成文本转语音产品并对外出售。其生成的AI声音与殷某的音色、语调、发音风格等具有高度一致性。殷某将两家公司诉至法院，法院支持了此诉讼。</w:t>
      </w:r>
    </w:p>
    <w:tbl>
      <w:tblPr>
        <w:tblStyle w:val="TableNormal"/>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8325"/>
      </w:tblGrid>
      <w:tr w14:paraId="1BF9A32D">
        <w:tblPrEx>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jc w:val="center"/>
        </w:trPr>
        <w:tc>
          <w:tcPr>
            <w:tcW w:w="83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10E94611">
            <w:pPr>
              <w:shd w:val="clear" w:color="auto" w:fill="auto"/>
              <w:spacing w:line="360" w:lineRule="auto"/>
              <w:jc w:val="left"/>
              <w:textAlignment w:val="center"/>
              <w:rPr>
                <w:sz w:val="21"/>
              </w:rPr>
            </w:pPr>
            <w:r>
              <w:rPr>
                <w:rFonts w:ascii="楷体" w:eastAsia="楷体" w:hAnsi="楷体" w:cs="楷体"/>
                <w:sz w:val="21"/>
              </w:rPr>
              <w:t>《中华人民共和国民法典》第</w:t>
            </w:r>
            <w:r>
              <w:rPr>
                <w:sz w:val="21"/>
              </w:rPr>
              <w:t>1023</w:t>
            </w:r>
            <w:r>
              <w:rPr>
                <w:rFonts w:ascii="楷体" w:eastAsia="楷体" w:hAnsi="楷体" w:cs="楷体"/>
                <w:sz w:val="21"/>
              </w:rPr>
              <w:t>条规定：对自然人声音的保护，参照适用肖像权保护的有关规定。</w:t>
            </w:r>
          </w:p>
        </w:tc>
      </w:tr>
    </w:tbl>
    <w:p w14:paraId="3BF6FE08">
      <w:pPr>
        <w:shd w:val="clear" w:color="auto" w:fill="auto"/>
        <w:spacing w:before="0" w:after="0" w:line="360" w:lineRule="auto"/>
        <w:ind w:left="420" w:firstLine="0"/>
        <w:jc w:val="left"/>
        <w:textAlignment w:val="center"/>
        <w:rPr>
          <w:sz w:val="21"/>
        </w:rPr>
      </w:pPr>
      <w:r>
        <w:rPr>
          <w:sz w:val="21"/>
        </w:rPr>
        <w:t>(1)结合材料，运用发展观的知识，分析我们应如何把握世界科技发展大势。</w:t>
      </w:r>
      <w:r>
        <w:rPr>
          <w:rFonts w:ascii="宋体" w:eastAsia="宋体" w:hAnsi="宋体" w:cs="宋体" w:hint="eastAsia"/>
          <w:sz w:val="24"/>
          <w:szCs w:val="24"/>
          <w:lang w:eastAsia="zh-CN"/>
        </w:rPr>
        <w:t>（</w:t>
      </w:r>
      <w:r>
        <w:rPr>
          <w:rFonts w:ascii="宋体" w:hAnsi="宋体" w:cs="宋体" w:hint="eastAsia"/>
          <w:sz w:val="24"/>
          <w:szCs w:val="24"/>
          <w:lang w:val="en-US" w:eastAsia="zh-CN"/>
        </w:rPr>
        <w:t>6</w:t>
      </w:r>
      <w:r>
        <w:rPr>
          <w:rFonts w:ascii="宋体" w:eastAsia="宋体" w:hAnsi="宋体" w:cs="宋体" w:hint="eastAsia"/>
          <w:sz w:val="24"/>
          <w:szCs w:val="24"/>
          <w:lang w:val="en-US" w:eastAsia="zh-CN"/>
        </w:rPr>
        <w:t>分）</w:t>
      </w:r>
    </w:p>
    <w:p w14:paraId="02515E97">
      <w:pPr>
        <w:shd w:val="clear" w:color="auto" w:fill="auto"/>
        <w:spacing w:before="0" w:after="0" w:line="360" w:lineRule="auto"/>
        <w:ind w:left="420" w:firstLine="0"/>
        <w:jc w:val="left"/>
        <w:textAlignment w:val="center"/>
        <w:rPr>
          <w:rFonts w:ascii="宋体" w:eastAsia="宋体" w:hAnsi="宋体" w:cs="宋体" w:hint="eastAsia"/>
          <w:sz w:val="24"/>
          <w:szCs w:val="24"/>
          <w:lang w:val="en-US" w:eastAsia="zh-CN"/>
        </w:rPr>
      </w:pPr>
      <w:r>
        <w:rPr>
          <w:sz w:val="21"/>
        </w:rPr>
        <w:t>(2)结合材料二，运用法律知识，说明法院支持诉讼的理由及两家公司应该承担的责任。</w:t>
      </w:r>
      <w:r>
        <w:rPr>
          <w:rFonts w:ascii="宋体" w:eastAsia="宋体" w:hAnsi="宋体" w:cs="宋体" w:hint="eastAsia"/>
          <w:sz w:val="24"/>
          <w:szCs w:val="24"/>
          <w:lang w:eastAsia="zh-CN"/>
        </w:rPr>
        <w:t>（</w:t>
      </w:r>
      <w:r>
        <w:rPr>
          <w:rFonts w:ascii="宋体" w:hAnsi="宋体" w:cs="宋体" w:hint="eastAsia"/>
          <w:sz w:val="24"/>
          <w:szCs w:val="24"/>
          <w:lang w:val="en-US" w:eastAsia="zh-CN"/>
        </w:rPr>
        <w:t>6</w:t>
      </w:r>
      <w:r>
        <w:rPr>
          <w:rFonts w:ascii="宋体" w:eastAsia="宋体" w:hAnsi="宋体" w:cs="宋体" w:hint="eastAsia"/>
          <w:sz w:val="24"/>
          <w:szCs w:val="24"/>
          <w:lang w:val="en-US" w:eastAsia="zh-CN"/>
        </w:rPr>
        <w:t>分）</w:t>
      </w:r>
    </w:p>
    <w:p w14:paraId="4F98EF13">
      <w:pPr>
        <w:shd w:val="clear" w:color="auto" w:fill="auto"/>
        <w:spacing w:before="0" w:after="0" w:line="360" w:lineRule="auto"/>
        <w:ind w:left="420" w:firstLine="0"/>
        <w:jc w:val="left"/>
        <w:textAlignment w:val="center"/>
        <w:rPr>
          <w:rFonts w:ascii="宋体" w:eastAsia="宋体" w:hAnsi="宋体" w:cs="宋体" w:hint="eastAsia"/>
          <w:sz w:val="24"/>
          <w:szCs w:val="24"/>
          <w:lang w:val="en-US" w:eastAsia="zh-CN"/>
        </w:rPr>
      </w:pPr>
    </w:p>
    <w:p w14:paraId="4179B34E">
      <w:pPr>
        <w:shd w:val="clear" w:color="auto" w:fill="auto"/>
        <w:spacing w:before="0" w:after="0" w:line="360" w:lineRule="auto"/>
        <w:ind w:left="420" w:firstLine="0"/>
        <w:jc w:val="left"/>
        <w:textAlignment w:val="center"/>
        <w:rPr>
          <w:rFonts w:ascii="宋体" w:eastAsia="宋体" w:hAnsi="宋体" w:cs="宋体" w:hint="eastAsia"/>
          <w:sz w:val="24"/>
          <w:szCs w:val="24"/>
          <w:lang w:val="en-US" w:eastAsia="zh-CN"/>
        </w:rPr>
      </w:pPr>
    </w:p>
    <w:p w14:paraId="2D92FC63">
      <w:pPr>
        <w:shd w:val="clear" w:color="auto" w:fill="auto"/>
        <w:spacing w:before="0" w:after="0" w:line="360" w:lineRule="auto"/>
        <w:ind w:left="420" w:firstLine="0"/>
        <w:jc w:val="left"/>
        <w:textAlignment w:val="center"/>
        <w:rPr>
          <w:rFonts w:ascii="宋体" w:eastAsia="宋体" w:hAnsi="宋体" w:cs="宋体" w:hint="eastAsia"/>
          <w:sz w:val="24"/>
          <w:szCs w:val="24"/>
          <w:lang w:val="en-US" w:eastAsia="zh-CN"/>
        </w:rPr>
      </w:pPr>
    </w:p>
    <w:p w14:paraId="4042BC0F">
      <w:pPr>
        <w:shd w:val="clear" w:color="auto" w:fill="auto"/>
        <w:spacing w:before="0" w:after="0" w:line="360" w:lineRule="auto"/>
        <w:ind w:left="420" w:firstLine="0"/>
        <w:jc w:val="left"/>
        <w:textAlignment w:val="center"/>
        <w:rPr>
          <w:rFonts w:ascii="宋体" w:eastAsia="宋体" w:hAnsi="宋体" w:cs="宋体" w:hint="eastAsia"/>
          <w:sz w:val="24"/>
          <w:szCs w:val="24"/>
          <w:lang w:val="en-US" w:eastAsia="zh-CN"/>
        </w:rPr>
      </w:pPr>
    </w:p>
    <w:p w14:paraId="78CB3F5F">
      <w:pPr>
        <w:shd w:val="clear" w:color="auto" w:fill="auto"/>
        <w:spacing w:before="0" w:after="0" w:line="360" w:lineRule="auto"/>
        <w:ind w:left="420" w:firstLine="0"/>
        <w:jc w:val="left"/>
        <w:textAlignment w:val="center"/>
        <w:rPr>
          <w:rFonts w:ascii="宋体" w:eastAsia="宋体" w:hAnsi="宋体" w:cs="宋体" w:hint="eastAsia"/>
          <w:sz w:val="24"/>
          <w:szCs w:val="24"/>
          <w:lang w:val="en-US" w:eastAsia="zh-CN"/>
        </w:rPr>
      </w:pPr>
    </w:p>
    <w:p w14:paraId="4B84B527">
      <w:pPr>
        <w:shd w:val="clear" w:color="auto" w:fill="auto"/>
        <w:spacing w:before="0" w:after="0" w:line="360" w:lineRule="auto"/>
        <w:ind w:left="420" w:firstLine="0"/>
        <w:jc w:val="left"/>
        <w:textAlignment w:val="center"/>
        <w:rPr>
          <w:rFonts w:ascii="宋体" w:eastAsia="宋体" w:hAnsi="宋体" w:cs="宋体" w:hint="eastAsia"/>
          <w:sz w:val="24"/>
          <w:szCs w:val="24"/>
          <w:lang w:val="en-US" w:eastAsia="zh-CN"/>
        </w:rPr>
      </w:pPr>
    </w:p>
    <w:p w14:paraId="442A0DF9">
      <w:pPr>
        <w:shd w:val="clear" w:color="auto" w:fill="auto"/>
        <w:spacing w:before="0" w:after="0" w:line="360" w:lineRule="auto"/>
        <w:ind w:left="420" w:firstLine="0"/>
        <w:jc w:val="left"/>
        <w:textAlignment w:val="center"/>
        <w:rPr>
          <w:rFonts w:ascii="宋体" w:eastAsia="宋体" w:hAnsi="宋体" w:cs="宋体" w:hint="eastAsia"/>
          <w:sz w:val="24"/>
          <w:szCs w:val="24"/>
          <w:lang w:val="en-US" w:eastAsia="zh-CN"/>
        </w:rPr>
      </w:pPr>
    </w:p>
    <w:p w14:paraId="49AACBB3">
      <w:pPr>
        <w:shd w:val="clear" w:color="auto" w:fill="auto"/>
        <w:spacing w:before="0" w:after="0" w:line="360" w:lineRule="auto"/>
        <w:ind w:left="420" w:firstLine="0"/>
        <w:jc w:val="left"/>
        <w:textAlignment w:val="center"/>
        <w:rPr>
          <w:rFonts w:ascii="宋体" w:eastAsia="宋体" w:hAnsi="宋体" w:cs="宋体" w:hint="eastAsia"/>
          <w:sz w:val="24"/>
          <w:szCs w:val="24"/>
          <w:lang w:val="en-US" w:eastAsia="zh-CN"/>
        </w:rPr>
      </w:pPr>
    </w:p>
    <w:p w14:paraId="06157832">
      <w:pPr>
        <w:shd w:val="clear" w:color="auto" w:fill="auto"/>
        <w:spacing w:before="0" w:after="0" w:line="360" w:lineRule="auto"/>
        <w:ind w:left="420" w:firstLine="0"/>
        <w:jc w:val="left"/>
        <w:textAlignment w:val="center"/>
        <w:rPr>
          <w:rFonts w:ascii="宋体" w:eastAsia="宋体" w:hAnsi="宋体" w:cs="宋体" w:hint="eastAsia"/>
          <w:sz w:val="24"/>
          <w:szCs w:val="24"/>
          <w:lang w:val="en-US" w:eastAsia="zh-CN"/>
        </w:rPr>
      </w:pPr>
    </w:p>
    <w:p w14:paraId="7B75899E">
      <w:pPr>
        <w:shd w:val="clear" w:color="auto" w:fill="auto"/>
        <w:spacing w:before="0" w:after="0" w:line="360" w:lineRule="auto"/>
        <w:ind w:left="420" w:hanging="420"/>
        <w:jc w:val="left"/>
        <w:textAlignment w:val="center"/>
        <w:rPr>
          <w:sz w:val="21"/>
        </w:rPr>
      </w:pPr>
      <w:r>
        <w:rPr>
          <w:sz w:val="21"/>
        </w:rPr>
        <w:t>26．</w:t>
      </w:r>
      <w:r>
        <w:rPr>
          <w:rFonts w:ascii="宋体" w:eastAsia="宋体" w:hAnsi="宋体" w:cs="宋体" w:hint="eastAsia"/>
          <w:sz w:val="24"/>
          <w:szCs w:val="24"/>
          <w:lang w:eastAsia="zh-CN"/>
        </w:rPr>
        <w:t>（</w:t>
      </w:r>
      <w:r>
        <w:rPr>
          <w:rFonts w:ascii="宋体" w:hAnsi="宋体" w:cs="宋体" w:hint="eastAsia"/>
          <w:sz w:val="24"/>
          <w:szCs w:val="24"/>
          <w:lang w:val="en-US" w:eastAsia="zh-CN"/>
        </w:rPr>
        <w:t>8</w:t>
      </w:r>
      <w:r>
        <w:rPr>
          <w:rFonts w:ascii="宋体" w:eastAsia="宋体" w:hAnsi="宋体" w:cs="宋体" w:hint="eastAsia"/>
          <w:sz w:val="24"/>
          <w:szCs w:val="24"/>
          <w:lang w:val="en-US" w:eastAsia="zh-CN"/>
        </w:rPr>
        <w:t>分）</w:t>
      </w:r>
      <w:r>
        <w:rPr>
          <w:rFonts w:ascii="楷体" w:eastAsia="楷体" w:hAnsi="楷体" w:cs="楷体"/>
          <w:sz w:val="21"/>
        </w:rPr>
        <w:t>“车路云一体化”即“聪明的车”“智慧的路”“强大的云”融合协同发展，有利于实现自动驾驶的快速发展。但现有的一些交通规则、法律法规，还不足以支持自动驾驶技术的快速发展。“车路云一体化”通过为道路配备先进通信和感知技术基础设施，再通过网联技术将实时收集到的路况信息上传至云平台，云平台将收集到的路况信息进行综合分析，将驾驶决策建议反馈至智能化汽车，打通道路、汽车与云平台的连接，实现了智能化、自动化驾驶的技术网联突破。</w:t>
      </w:r>
    </w:p>
    <w:p w14:paraId="53302AB4">
      <w:pPr>
        <w:shd w:val="clear" w:color="auto" w:fill="auto"/>
        <w:spacing w:before="0" w:after="0" w:line="360" w:lineRule="auto"/>
        <w:ind w:left="420" w:firstLine="0"/>
        <w:jc w:val="left"/>
        <w:textAlignment w:val="center"/>
        <w:rPr>
          <w:sz w:val="21"/>
        </w:rPr>
      </w:pPr>
      <w:r>
        <w:rPr>
          <w:sz w:val="21"/>
        </w:rPr>
        <w:t>结合材料，运用《逻辑与思维》的相关知识，回答下列问题：</w:t>
      </w:r>
    </w:p>
    <w:p w14:paraId="4B929077">
      <w:pPr>
        <w:shd w:val="clear" w:color="auto" w:fill="auto"/>
        <w:spacing w:before="0" w:after="0" w:line="360" w:lineRule="auto"/>
        <w:ind w:left="420" w:firstLine="0"/>
        <w:jc w:val="left"/>
        <w:textAlignment w:val="center"/>
        <w:rPr>
          <w:sz w:val="21"/>
        </w:rPr>
      </w:pPr>
      <w:r>
        <w:rPr>
          <w:sz w:val="21"/>
        </w:rPr>
        <w:t>(1)有人认为，只要“车路云一体化”，就能实现自动驾驶的快速发展。请判断这一观点的真假，并说明理由。</w:t>
      </w:r>
      <w:r>
        <w:rPr>
          <w:rFonts w:ascii="宋体" w:eastAsia="宋体" w:hAnsi="宋体" w:cs="宋体" w:hint="eastAsia"/>
          <w:sz w:val="24"/>
          <w:szCs w:val="24"/>
          <w:lang w:eastAsia="zh-CN"/>
        </w:rPr>
        <w:t>（</w:t>
      </w:r>
      <w:r>
        <w:rPr>
          <w:rFonts w:ascii="宋体" w:hAnsi="宋体" w:cs="宋体" w:hint="eastAsia"/>
          <w:sz w:val="24"/>
          <w:szCs w:val="24"/>
          <w:lang w:val="en-US" w:eastAsia="zh-CN"/>
        </w:rPr>
        <w:t>4</w:t>
      </w:r>
      <w:r>
        <w:rPr>
          <w:rFonts w:ascii="宋体" w:eastAsia="宋体" w:hAnsi="宋体" w:cs="宋体" w:hint="eastAsia"/>
          <w:sz w:val="24"/>
          <w:szCs w:val="24"/>
          <w:lang w:val="en-US" w:eastAsia="zh-CN"/>
        </w:rPr>
        <w:t>分）</w:t>
      </w:r>
    </w:p>
    <w:p w14:paraId="6BA38C2E">
      <w:pPr>
        <w:shd w:val="clear" w:color="auto" w:fill="auto"/>
        <w:spacing w:before="0" w:after="0" w:line="360" w:lineRule="auto"/>
        <w:ind w:left="420" w:firstLine="0"/>
        <w:jc w:val="left"/>
        <w:textAlignment w:val="center"/>
        <w:rPr>
          <w:rFonts w:ascii="宋体" w:eastAsia="宋体" w:hAnsi="宋体" w:cs="宋体" w:hint="eastAsia"/>
          <w:sz w:val="24"/>
          <w:szCs w:val="24"/>
          <w:lang w:val="en-US" w:eastAsia="zh-CN"/>
        </w:rPr>
      </w:pPr>
      <w:r>
        <w:rPr>
          <w:sz w:val="21"/>
        </w:rPr>
        <w:t>(2)指出“车路云一体化”蕴含的创新思维方法。</w:t>
      </w:r>
      <w:r>
        <w:rPr>
          <w:rFonts w:ascii="宋体" w:eastAsia="宋体" w:hAnsi="宋体" w:cs="宋体" w:hint="eastAsia"/>
          <w:sz w:val="24"/>
          <w:szCs w:val="24"/>
          <w:lang w:eastAsia="zh-CN"/>
        </w:rPr>
        <w:t>（</w:t>
      </w:r>
      <w:r>
        <w:rPr>
          <w:rFonts w:ascii="宋体" w:hAnsi="宋体" w:cs="宋体" w:hint="eastAsia"/>
          <w:sz w:val="24"/>
          <w:szCs w:val="24"/>
          <w:lang w:val="en-US" w:eastAsia="zh-CN"/>
        </w:rPr>
        <w:t>4</w:t>
      </w:r>
      <w:r>
        <w:rPr>
          <w:rFonts w:ascii="宋体" w:eastAsia="宋体" w:hAnsi="宋体" w:cs="宋体" w:hint="eastAsia"/>
          <w:sz w:val="24"/>
          <w:szCs w:val="24"/>
          <w:lang w:val="en-US" w:eastAsia="zh-CN"/>
        </w:rPr>
        <w:t>分）</w:t>
      </w:r>
    </w:p>
    <w:p w14:paraId="36DEADFA">
      <w:pPr>
        <w:shd w:val="clear" w:color="auto" w:fill="auto"/>
        <w:spacing w:before="0" w:after="0" w:line="360" w:lineRule="auto"/>
        <w:ind w:left="420" w:firstLine="0"/>
        <w:jc w:val="left"/>
        <w:textAlignment w:val="center"/>
        <w:rPr>
          <w:rFonts w:ascii="宋体" w:eastAsia="宋体" w:hAnsi="宋体" w:cs="宋体" w:hint="eastAsia"/>
          <w:sz w:val="24"/>
          <w:szCs w:val="24"/>
          <w:lang w:val="en-US" w:eastAsia="zh-CN"/>
        </w:rPr>
      </w:pPr>
    </w:p>
    <w:p w14:paraId="491DDA3F">
      <w:pPr>
        <w:shd w:val="clear" w:color="auto" w:fill="auto"/>
        <w:spacing w:before="0" w:after="0" w:line="360" w:lineRule="auto"/>
        <w:ind w:left="420" w:firstLine="0"/>
        <w:jc w:val="left"/>
        <w:textAlignment w:val="center"/>
        <w:rPr>
          <w:rFonts w:ascii="宋体" w:eastAsia="宋体" w:hAnsi="宋体" w:cs="宋体" w:hint="eastAsia"/>
          <w:sz w:val="24"/>
          <w:szCs w:val="24"/>
          <w:lang w:val="en-US" w:eastAsia="zh-CN"/>
        </w:rPr>
      </w:pPr>
    </w:p>
    <w:p w14:paraId="1C59C61D">
      <w:pPr>
        <w:shd w:val="clear" w:color="auto" w:fill="auto"/>
        <w:spacing w:before="0" w:after="0" w:line="360" w:lineRule="auto"/>
        <w:ind w:left="420" w:firstLine="0"/>
        <w:jc w:val="left"/>
        <w:textAlignment w:val="center"/>
        <w:rPr>
          <w:rFonts w:ascii="宋体" w:eastAsia="宋体" w:hAnsi="宋体" w:cs="宋体" w:hint="eastAsia"/>
          <w:sz w:val="24"/>
          <w:szCs w:val="24"/>
          <w:lang w:val="en-US" w:eastAsia="zh-CN"/>
        </w:rPr>
      </w:pPr>
    </w:p>
    <w:p w14:paraId="31D20ADA">
      <w:pPr>
        <w:shd w:val="clear" w:color="auto" w:fill="auto"/>
        <w:spacing w:before="0" w:after="0" w:line="360" w:lineRule="auto"/>
        <w:ind w:left="420" w:firstLine="0"/>
        <w:jc w:val="left"/>
        <w:textAlignment w:val="center"/>
        <w:rPr>
          <w:rFonts w:ascii="宋体" w:eastAsia="宋体" w:hAnsi="宋体" w:cs="宋体" w:hint="eastAsia"/>
          <w:sz w:val="24"/>
          <w:szCs w:val="24"/>
          <w:lang w:val="en-US" w:eastAsia="zh-CN"/>
        </w:rPr>
      </w:pPr>
    </w:p>
    <w:p w14:paraId="25C5EB8D">
      <w:pPr>
        <w:shd w:val="clear" w:color="auto" w:fill="auto"/>
        <w:spacing w:before="0" w:after="0" w:line="360" w:lineRule="auto"/>
        <w:ind w:left="420" w:firstLine="0"/>
        <w:jc w:val="left"/>
        <w:textAlignment w:val="center"/>
        <w:rPr>
          <w:rFonts w:ascii="宋体" w:eastAsia="宋体" w:hAnsi="宋体" w:cs="宋体" w:hint="eastAsia"/>
          <w:sz w:val="24"/>
          <w:szCs w:val="24"/>
          <w:lang w:val="en-US" w:eastAsia="zh-CN"/>
        </w:rPr>
      </w:pPr>
    </w:p>
    <w:p w14:paraId="4D876462">
      <w:pPr>
        <w:shd w:val="clear" w:color="auto" w:fill="auto"/>
        <w:spacing w:before="0" w:after="0" w:line="360" w:lineRule="auto"/>
        <w:ind w:left="420" w:firstLine="0"/>
        <w:jc w:val="left"/>
        <w:textAlignment w:val="center"/>
        <w:rPr>
          <w:rFonts w:ascii="宋体" w:eastAsia="宋体" w:hAnsi="宋体" w:cs="宋体" w:hint="eastAsia"/>
          <w:sz w:val="24"/>
          <w:szCs w:val="24"/>
          <w:lang w:val="en-US" w:eastAsia="zh-CN"/>
        </w:rPr>
      </w:pPr>
    </w:p>
    <w:p w14:paraId="3E34D2B8">
      <w:pPr>
        <w:shd w:val="clear" w:color="auto" w:fill="auto"/>
        <w:spacing w:before="0" w:after="0" w:line="360" w:lineRule="auto"/>
        <w:ind w:left="420" w:firstLine="0"/>
        <w:jc w:val="left"/>
        <w:textAlignment w:val="center"/>
        <w:rPr>
          <w:rFonts w:ascii="宋体" w:eastAsia="宋体" w:hAnsi="宋体" w:cs="宋体" w:hint="eastAsia"/>
          <w:sz w:val="24"/>
          <w:szCs w:val="24"/>
          <w:lang w:val="en-US" w:eastAsia="zh-CN"/>
        </w:rPr>
      </w:pPr>
    </w:p>
    <w:p w14:paraId="170E76C5">
      <w:pPr>
        <w:shd w:val="clear" w:color="auto" w:fill="auto"/>
        <w:spacing w:before="0" w:after="0" w:line="360" w:lineRule="auto"/>
        <w:ind w:left="420" w:hanging="420"/>
        <w:jc w:val="left"/>
        <w:textAlignment w:val="center"/>
        <w:rPr>
          <w:sz w:val="21"/>
        </w:rPr>
      </w:pPr>
      <w:r>
        <w:rPr>
          <w:sz w:val="21"/>
        </w:rPr>
        <w:t>27．</w:t>
      </w:r>
      <w:r>
        <w:rPr>
          <w:rFonts w:hint="eastAsia"/>
          <w:sz w:val="21"/>
          <w:lang w:eastAsia="zh-CN"/>
        </w:rPr>
        <w:t>（</w:t>
      </w:r>
      <w:r>
        <w:rPr>
          <w:rFonts w:hint="eastAsia"/>
          <w:sz w:val="21"/>
          <w:lang w:val="en-US" w:eastAsia="zh-CN"/>
        </w:rPr>
        <w:t>13分</w:t>
      </w:r>
      <w:r>
        <w:rPr>
          <w:rFonts w:hint="eastAsia"/>
          <w:sz w:val="21"/>
          <w:lang w:eastAsia="zh-CN"/>
        </w:rPr>
        <w:t>）</w:t>
      </w:r>
      <w:r>
        <w:rPr>
          <w:sz w:val="21"/>
        </w:rPr>
        <w:t>阅读材料，完成下列要求。</w:t>
      </w:r>
    </w:p>
    <w:p w14:paraId="5A74CB5D">
      <w:pPr>
        <w:shd w:val="clear" w:color="auto" w:fill="auto"/>
        <w:spacing w:before="0" w:after="0" w:line="360" w:lineRule="auto"/>
        <w:ind w:left="420" w:firstLine="0"/>
        <w:jc w:val="left"/>
        <w:textAlignment w:val="center"/>
        <w:rPr>
          <w:sz w:val="21"/>
        </w:rPr>
      </w:pPr>
      <w:r>
        <w:rPr>
          <w:rFonts w:ascii="楷体" w:eastAsia="楷体" w:hAnsi="楷体" w:cs="楷体"/>
          <w:sz w:val="21"/>
        </w:rPr>
        <w:t>2025年以来，美国新一届政府正式上台执政，重返白宫的特朗普四处挥舞“关税大棒”，对包括中国在内的各主要贸易国家实施加征进口关税政策。美国政府当前的关税政策与全球化趋势背道而驰，对全球贸易体系造成严重破坏，给全球经济带来不确定性。</w:t>
      </w:r>
      <w:bookmarkStart w:id="0" w:name="_GoBack"/>
      <w:bookmarkEnd w:id="0"/>
      <w:r>
        <w:rPr>
          <w:rFonts w:ascii="楷体" w:eastAsia="楷体" w:hAnsi="楷体" w:cs="楷体"/>
          <w:sz w:val="21"/>
        </w:rPr>
        <w:t>特朗普政府一系列激进的关税举措，颠覆了战后贸易秩序和规则体系，世界经济局势愈发紧张。</w:t>
      </w:r>
    </w:p>
    <w:p w14:paraId="7B700D52">
      <w:pPr>
        <w:shd w:val="clear" w:color="auto" w:fill="auto"/>
        <w:spacing w:before="0" w:after="0" w:line="360" w:lineRule="auto"/>
        <w:ind w:left="420" w:firstLine="0"/>
        <w:jc w:val="left"/>
        <w:textAlignment w:val="center"/>
        <w:rPr>
          <w:sz w:val="21"/>
        </w:rPr>
      </w:pPr>
      <w:r>
        <w:rPr>
          <w:sz w:val="21"/>
        </w:rPr>
        <w:t>假如你是我国外交部发言人，请拟一份发言提纲，就美国政府加征进口关税答记者问阐明中国主张。</w:t>
      </w:r>
    </w:p>
    <w:p w14:paraId="3F82A1DB">
      <w:pPr>
        <w:shd w:val="clear" w:color="auto" w:fill="auto"/>
        <w:spacing w:before="0" w:after="0" w:line="360" w:lineRule="auto"/>
        <w:ind w:left="420" w:firstLine="0"/>
        <w:jc w:val="left"/>
        <w:textAlignment w:val="center"/>
        <w:rPr>
          <w:sz w:val="21"/>
        </w:rPr>
      </w:pPr>
      <w:r>
        <w:rPr>
          <w:sz w:val="21"/>
        </w:rPr>
        <w:t>要求：①围绕主题，逻辑清晰；②学科术语使用规范；③字数在250字左右。</w:t>
      </w:r>
    </w:p>
    <w:p w14:paraId="5BD127EF">
      <w:pPr>
        <w:keepNext w:val="0"/>
        <w:keepLines w:val="0"/>
        <w:pageBreakBefore w:val="0"/>
        <w:widowControl w:val="0"/>
        <w:kinsoku/>
        <w:wordWrap/>
        <w:topLinePunct w:val="0"/>
        <w:autoSpaceDE/>
        <w:autoSpaceDN/>
        <w:bidi w:val="0"/>
        <w:snapToGrid/>
        <w:spacing w:before="0" w:after="0" w:line="360" w:lineRule="auto"/>
        <w:ind w:left="420" w:firstLine="0"/>
        <w:rPr>
          <w:rFonts w:ascii="Times New Roman" w:eastAsia="宋体" w:hAnsi="Times New Roman" w:cs="Times New Roman" w:hint="default"/>
          <w:sz w:val="24"/>
          <w:szCs w:val="24"/>
        </w:rPr>
      </w:pPr>
    </w:p>
    <w:sectPr>
      <w:headerReference w:type="default" r:id="rId10"/>
      <w:footerReference w:type="even" r:id="rId11"/>
      <w:footerReference w:type="default" r:id="rId12"/>
      <w:pgSz w:w="11907" w:h="16839"/>
      <w:pgMar w:top="1440" w:right="1083" w:bottom="1440" w:left="1083" w:header="851" w:footer="992" w:gutter="0"/>
      <w:pgNumType w:fmt="decimal"/>
      <w:cols w:num="1" w:sep="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400001FF" w:csb1="FFFF0000"/>
  </w:font>
  <w:font w:name="宋体">
    <w:altName w:val="SimSun"/>
    <w:panose1 w:val="02010600030101010101"/>
    <w:charset w:val="7A"/>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200247B" w:usb2="00000009" w:usb3="00000000" w:csb0="200001FF" w:csb1="00000000"/>
  </w:font>
  <w:font w:name="Times New Romance">
    <w:altName w:val="Times New Roman"/>
    <w:panose1 w:val="00000000000000000000"/>
    <w:charset w:val="00"/>
    <w:family w:val="roma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6C872D4A">
    <w:pPr>
      <w:pStyle w:val="Footer"/>
      <w:jc w:val="center"/>
      <w:rPr>
        <w:color w:val="000000"/>
        <w:szCs w:val="21"/>
      </w:rPr>
    </w:pPr>
    <w:r>
      <w:rPr>
        <w:rFonts w:eastAsia="楷体"/>
        <w:sz w:val="21"/>
        <w:szCs w:val="21"/>
      </w:rPr>
      <w:t>地理  第</w:t>
    </w:r>
    <w:r>
      <w:rPr>
        <w:rFonts w:eastAsia="楷体"/>
        <w:sz w:val="21"/>
        <w:szCs w:val="21"/>
      </w:rPr>
      <w:fldChar w:fldCharType="begin"/>
    </w:r>
    <w:r>
      <w:rPr>
        <w:rFonts w:eastAsia="楷体"/>
        <w:sz w:val="21"/>
        <w:szCs w:val="21"/>
      </w:rPr>
      <w:instrText xml:space="preserve"> PAGE </w:instrText>
    </w:r>
    <w:r>
      <w:rPr>
        <w:rFonts w:eastAsia="楷体"/>
        <w:sz w:val="21"/>
        <w:szCs w:val="21"/>
      </w:rPr>
      <w:fldChar w:fldCharType="separate"/>
    </w:r>
    <w:r>
      <w:rPr>
        <w:rFonts w:eastAsia="楷体"/>
        <w:sz w:val="21"/>
        <w:szCs w:val="21"/>
      </w:rPr>
      <w:t>2</w:t>
    </w:r>
    <w:r>
      <w:rPr>
        <w:rFonts w:eastAsia="楷体"/>
        <w:sz w:val="21"/>
        <w:szCs w:val="21"/>
      </w:rPr>
      <w:fldChar w:fldCharType="end"/>
    </w:r>
    <w:r>
      <w:rPr>
        <w:rFonts w:eastAsia="楷体"/>
        <w:sz w:val="21"/>
        <w:szCs w:val="21"/>
      </w:rPr>
      <w:t>页（共</w:t>
    </w:r>
    <w:r>
      <w:rPr>
        <w:rFonts w:eastAsia="楷体"/>
        <w:sz w:val="21"/>
        <w:szCs w:val="21"/>
      </w:rPr>
      <w:fldChar w:fldCharType="begin"/>
    </w:r>
    <w:r>
      <w:rPr>
        <w:rFonts w:eastAsia="楷体"/>
        <w:sz w:val="21"/>
        <w:szCs w:val="21"/>
      </w:rPr>
      <w:instrText xml:space="preserve"> NUMPAGES </w:instrText>
    </w:r>
    <w:r>
      <w:rPr>
        <w:rFonts w:eastAsia="楷体"/>
        <w:sz w:val="21"/>
        <w:szCs w:val="21"/>
      </w:rPr>
      <w:fldChar w:fldCharType="separate"/>
    </w:r>
    <w:r>
      <w:rPr>
        <w:rFonts w:eastAsia="楷体"/>
        <w:sz w:val="21"/>
        <w:szCs w:val="21"/>
      </w:rPr>
      <w:t>5</w:t>
    </w:r>
    <w:r>
      <w:rPr>
        <w:rFonts w:eastAsia="楷体"/>
        <w:sz w:val="21"/>
        <w:szCs w:val="21"/>
      </w:rPr>
      <w:fldChar w:fldCharType="end"/>
    </w:r>
    <w:r>
      <w:rPr>
        <w:rFonts w:eastAsia="楷体"/>
        <w:sz w:val="21"/>
        <w:szCs w:val="21"/>
      </w:rPr>
      <w:t>页</w:t>
    </w:r>
    <w:r>
      <w:rPr>
        <w:szCs w:val="21"/>
      </w:rPr>
      <w:t>）</w:t>
    </w:r>
  </w:p>
  <w:p w14:paraId="6AE526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33E4C88F">
    <w:pPr>
      <w:spacing w:before="0" w:after="0" w:line="240" w:lineRule="auto"/>
      <w:jc w:val="center"/>
    </w:pPr>
    <w:r>
      <w:rPr>
        <w:rFonts w:ascii="Times New Roman" w:eastAsia="Times New Roman" w:hAnsi="Times New Roman"/>
        <w:b w:val="0"/>
        <w:sz w:val="21"/>
      </w:rPr>
      <w:fldChar w:fldCharType="begin"/>
    </w:r>
    <w:r>
      <w:rPr>
        <w:rFonts w:ascii="Times New Roman" w:eastAsia="Times New Roman" w:hAnsi="Times New Roman"/>
        <w:b w:val="0"/>
        <w:sz w:val="21"/>
      </w:rPr>
      <w:instrText>PAGE</w:instrText>
    </w:r>
    <w:r>
      <w:rPr>
        <w:rFonts w:ascii="Times New Roman" w:eastAsia="Times New Roman" w:hAnsi="Times New Roman"/>
        <w:b w:val="0"/>
        <w:sz w:val="21"/>
      </w:rPr>
      <w:fldChar w:fldCharType="separate"/>
    </w:r>
    <w:r>
      <w:rPr>
        <w:rFonts w:ascii="Times New Roman" w:eastAsia="Times New Roman" w:hAnsi="Times New Roman"/>
        <w:b w:val="0"/>
        <w:sz w:val="21"/>
      </w:rPr>
      <w:fldChar w:fldCharType="end"/>
    </w:r>
    <w:r>
      <w:rPr>
        <w:rFonts w:ascii="Times New Roman" w:eastAsia="Times New Roman" w:hAnsi="Times New Roman"/>
        <w:b w:val="0"/>
        <w:sz w:val="21"/>
      </w:rPr>
      <w:t xml:space="preserve"> / </w:t>
    </w:r>
    <w:r>
      <w:rPr>
        <w:rFonts w:ascii="Times New Roman" w:eastAsia="Times New Roman" w:hAnsi="Times New Roman"/>
        <w:b w:val="0"/>
        <w:sz w:val="21"/>
      </w:rPr>
      <w:fldChar w:fldCharType="begin"/>
    </w:r>
    <w:r>
      <w:rPr>
        <w:rFonts w:ascii="Times New Roman" w:eastAsia="Times New Roman" w:hAnsi="Times New Roman"/>
        <w:b w:val="0"/>
        <w:sz w:val="21"/>
      </w:rPr>
      <w:instrText>NUMPAGES</w:instrText>
    </w:r>
    <w:r>
      <w:rPr>
        <w:rFonts w:ascii="Times New Roman" w:eastAsia="Times New Roman" w:hAnsi="Times New Roman"/>
        <w:b w:val="0"/>
        <w:sz w:val="21"/>
      </w:rPr>
      <w:fldChar w:fldCharType="separate"/>
    </w:r>
    <w:r>
      <w:rPr>
        <w:rFonts w:ascii="Times New Roman" w:eastAsia="Times New Roman" w:hAnsi="Times New Roman"/>
        <w:b w:val="0"/>
        <w:sz w:val="21"/>
      </w:rPr>
      <w:fldChar w:fldCharType="end"/>
    </w:r>
  </w:p>
  <w:p w:rsidR="004151FC">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532AD20B">
    <w:r>
      <w:drawing>
        <wp:inline distT="0" distB="0" distL="114300" distR="114300">
          <wp:extent cx="6194425" cy="190500"/>
          <wp:effectExtent l="0" t="0" r="158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xmlns:r="http://schemas.openxmlformats.org/officeDocument/2006/relationships" r:embed="rId1"/>
                  <a:stretch>
                    <a:fillRect/>
                  </a:stretch>
                </pic:blipFill>
                <pic:spPr>
                  <a:xfrm>
                    <a:off x="0" y="0"/>
                    <a:ext cx="6194425" cy="190500"/>
                  </a:xfrm>
                  <a:prstGeom prst="rect">
                    <a:avLst/>
                  </a:prstGeom>
                </pic:spPr>
              </pic:pic>
            </a:graphicData>
          </a:graphic>
        </wp:inline>
      </w:drawing>
    </w:r>
  </w:p>
  <w:p w:rsidR="004151FC">
    <w:pPr>
      <w:pBdr>
        <w:bottom w:val="none" w:sz="0" w:space="1" w:color="auto"/>
      </w:pBdr>
      <w:tabs>
        <w:tab w:val="clear" w:pos="4153"/>
        <w:tab w:val="clear" w:pos="8306"/>
      </w:tabs>
      <w:snapToGrid w:val="0"/>
      <w:rPr>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2" r:href="rId3"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E6D32EA8"/>
    <w:multiLevelType w:val="singleLevel"/>
    <w:tmpl w:val="E6D32EA8"/>
    <w:lvl w:ilvl="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defaultTabStop w:val="2415"/>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5A5"/>
    <w:rsid w:val="000039D8"/>
    <w:rsid w:val="00023977"/>
    <w:rsid w:val="00040123"/>
    <w:rsid w:val="0004672B"/>
    <w:rsid w:val="00055491"/>
    <w:rsid w:val="00070FBA"/>
    <w:rsid w:val="000C01B4"/>
    <w:rsid w:val="00123ECA"/>
    <w:rsid w:val="00155916"/>
    <w:rsid w:val="001836ED"/>
    <w:rsid w:val="001867C7"/>
    <w:rsid w:val="00224292"/>
    <w:rsid w:val="00241F22"/>
    <w:rsid w:val="0024424B"/>
    <w:rsid w:val="00281E10"/>
    <w:rsid w:val="002A0CAC"/>
    <w:rsid w:val="002A0E41"/>
    <w:rsid w:val="002C472E"/>
    <w:rsid w:val="002F0022"/>
    <w:rsid w:val="002F48C6"/>
    <w:rsid w:val="002F6766"/>
    <w:rsid w:val="00312FD7"/>
    <w:rsid w:val="00327BEE"/>
    <w:rsid w:val="00351B63"/>
    <w:rsid w:val="00366F2A"/>
    <w:rsid w:val="003D52DD"/>
    <w:rsid w:val="003F2F6C"/>
    <w:rsid w:val="003F5566"/>
    <w:rsid w:val="004151FC"/>
    <w:rsid w:val="004239D4"/>
    <w:rsid w:val="00425B94"/>
    <w:rsid w:val="00442E4D"/>
    <w:rsid w:val="004A2803"/>
    <w:rsid w:val="004A60C0"/>
    <w:rsid w:val="004A6D5F"/>
    <w:rsid w:val="004D79ED"/>
    <w:rsid w:val="004E24A2"/>
    <w:rsid w:val="004E2F90"/>
    <w:rsid w:val="00501537"/>
    <w:rsid w:val="00542709"/>
    <w:rsid w:val="00551854"/>
    <w:rsid w:val="00560FB8"/>
    <w:rsid w:val="0058000A"/>
    <w:rsid w:val="00593F39"/>
    <w:rsid w:val="005B7491"/>
    <w:rsid w:val="005D3B58"/>
    <w:rsid w:val="006169A0"/>
    <w:rsid w:val="00656B18"/>
    <w:rsid w:val="00657595"/>
    <w:rsid w:val="00665F48"/>
    <w:rsid w:val="006708F4"/>
    <w:rsid w:val="006847BD"/>
    <w:rsid w:val="006A18C8"/>
    <w:rsid w:val="006B2742"/>
    <w:rsid w:val="006F11D9"/>
    <w:rsid w:val="00732658"/>
    <w:rsid w:val="00734230"/>
    <w:rsid w:val="00735C54"/>
    <w:rsid w:val="00752D7E"/>
    <w:rsid w:val="007633EE"/>
    <w:rsid w:val="007B28A2"/>
    <w:rsid w:val="007C2590"/>
    <w:rsid w:val="007E1402"/>
    <w:rsid w:val="007F37C2"/>
    <w:rsid w:val="00816F6B"/>
    <w:rsid w:val="00832B20"/>
    <w:rsid w:val="00846ADF"/>
    <w:rsid w:val="008524AD"/>
    <w:rsid w:val="0088749F"/>
    <w:rsid w:val="008960F4"/>
    <w:rsid w:val="008C2ECF"/>
    <w:rsid w:val="008D4C7D"/>
    <w:rsid w:val="0092134D"/>
    <w:rsid w:val="00921ABF"/>
    <w:rsid w:val="009C7AE4"/>
    <w:rsid w:val="009D7C45"/>
    <w:rsid w:val="009E29D3"/>
    <w:rsid w:val="00A25961"/>
    <w:rsid w:val="00A47E72"/>
    <w:rsid w:val="00A51DEB"/>
    <w:rsid w:val="00A56D15"/>
    <w:rsid w:val="00A91CB6"/>
    <w:rsid w:val="00AE4097"/>
    <w:rsid w:val="00AE40A1"/>
    <w:rsid w:val="00AF4A47"/>
    <w:rsid w:val="00B3103C"/>
    <w:rsid w:val="00B34B06"/>
    <w:rsid w:val="00B43330"/>
    <w:rsid w:val="00B46C70"/>
    <w:rsid w:val="00BA7E92"/>
    <w:rsid w:val="00BB0EBB"/>
    <w:rsid w:val="00BF35A5"/>
    <w:rsid w:val="00C02FC6"/>
    <w:rsid w:val="00C05FED"/>
    <w:rsid w:val="00C46C6E"/>
    <w:rsid w:val="00C91BB6"/>
    <w:rsid w:val="00C91ECD"/>
    <w:rsid w:val="00D06C0D"/>
    <w:rsid w:val="00D83B39"/>
    <w:rsid w:val="00DA0DD6"/>
    <w:rsid w:val="00DA175A"/>
    <w:rsid w:val="00DC2576"/>
    <w:rsid w:val="00E10B2E"/>
    <w:rsid w:val="00E24036"/>
    <w:rsid w:val="00E537C3"/>
    <w:rsid w:val="00E86E29"/>
    <w:rsid w:val="00E91B31"/>
    <w:rsid w:val="00ED1311"/>
    <w:rsid w:val="00EE1ACF"/>
    <w:rsid w:val="00EF297F"/>
    <w:rsid w:val="00F07E9C"/>
    <w:rsid w:val="00F24DBE"/>
    <w:rsid w:val="00F45766"/>
    <w:rsid w:val="00FA2112"/>
    <w:rsid w:val="00FE0E9F"/>
    <w:rsid w:val="00FE3514"/>
    <w:rsid w:val="02752BE8"/>
    <w:rsid w:val="097969C1"/>
    <w:rsid w:val="09F435EF"/>
    <w:rsid w:val="11EB1AD2"/>
    <w:rsid w:val="165A5F04"/>
    <w:rsid w:val="17D912A0"/>
    <w:rsid w:val="1A9A63D0"/>
    <w:rsid w:val="1B051A6D"/>
    <w:rsid w:val="1CFA10B0"/>
    <w:rsid w:val="22B97967"/>
    <w:rsid w:val="24A129AB"/>
    <w:rsid w:val="26B649BF"/>
    <w:rsid w:val="297A6B9B"/>
    <w:rsid w:val="298D142C"/>
    <w:rsid w:val="2A3C280D"/>
    <w:rsid w:val="310D7E84"/>
    <w:rsid w:val="33367C76"/>
    <w:rsid w:val="3653010B"/>
    <w:rsid w:val="36D36DF1"/>
    <w:rsid w:val="375D3672"/>
    <w:rsid w:val="3B88753E"/>
    <w:rsid w:val="3D0F5227"/>
    <w:rsid w:val="41A33F74"/>
    <w:rsid w:val="43923B90"/>
    <w:rsid w:val="43937591"/>
    <w:rsid w:val="44F80847"/>
    <w:rsid w:val="454B3A15"/>
    <w:rsid w:val="45620730"/>
    <w:rsid w:val="479E15F2"/>
    <w:rsid w:val="49A82B95"/>
    <w:rsid w:val="4A0E3255"/>
    <w:rsid w:val="50945232"/>
    <w:rsid w:val="51CE51EB"/>
    <w:rsid w:val="51EE6C30"/>
    <w:rsid w:val="5CC5312C"/>
    <w:rsid w:val="5E2A567F"/>
    <w:rsid w:val="61F76101"/>
    <w:rsid w:val="64332E3B"/>
    <w:rsid w:val="6BD3495A"/>
    <w:rsid w:val="6C46775D"/>
    <w:rsid w:val="6E30524F"/>
    <w:rsid w:val="6E5427AA"/>
    <w:rsid w:val="70A97A05"/>
    <w:rsid w:val="72F72439"/>
    <w:rsid w:val="760A5C09"/>
    <w:rsid w:val="76BF5DB9"/>
    <w:rsid w:val="79A82082"/>
    <w:rsid w:val="79BA4907"/>
    <w:rsid w:val="7BDF310F"/>
    <w:rsid w:val="7C1728A9"/>
    <w:rsid w:val="7C2B62C2"/>
  </w:rsids>
  <w:docVars>
    <w:docVar w:name="commondata" w:val="eyJoZGlkIjoiMTk4NmM5NDk0Nzg0NTA0N2Q4NTA2ZTg3MTg3NjRkYTI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semiHidden="0" w:uiPriority="0" w:unhideWhenUsed="0"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semiHidden="0" w:uiPriority="0" w:unhideWhenUsed="0"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semiHidden="0" w:uiPriority="1"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nhideWhenUsed="0" w:qFormat="1"/>
    <w:lsdException w:name="FollowedHyperlink"/>
    <w:lsdException w:name="Strong" w:semiHidden="0" w:uiPriority="22" w:unhideWhenUsed="0" w:qFormat="1"/>
    <w:lsdException w:name="Emphasis" w:semiHidden="0" w:uiPriority="0" w:unhideWhenUsed="0" w:qFormat="1"/>
    <w:lsdException w:name="Document Map"/>
    <w:lsdException w:name="Plain Text" w:semiHidden="0" w:uiPriority="0" w:unhideWhenUsed="0" w:qFormat="1"/>
    <w:lsdException w:name="E-mail Signature"/>
    <w:lsdException w:name="Normal (Web)" w:semiHidden="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nhideWhenUsed="0" w:qFormat="1"/>
    <w:lsdException w:name="Table Theme"/>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2"/>
      <w:lang w:val="en-US" w:eastAsia="zh-CN" w:bidi="ar-SA"/>
    </w:rPr>
  </w:style>
  <w:style w:type="paragraph" w:styleId="Heading1">
    <w:name w:val="heading 1"/>
    <w:basedOn w:val="Normal"/>
    <w:next w:val="Normal"/>
    <w:link w:val="1Char0"/>
    <w:uiPriority w:val="9"/>
    <w:qFormat/>
    <w:pPr>
      <w:widowControl/>
      <w:spacing w:before="100" w:beforeAutospacing="1" w:after="100" w:afterAutospacing="1"/>
      <w:jc w:val="left"/>
      <w:outlineLvl w:val="0"/>
    </w:pPr>
    <w:rPr>
      <w:rFonts w:ascii="宋体" w:hAnsi="宋体" w:cs="宋体"/>
      <w:b/>
      <w:bCs/>
      <w:kern w:val="36"/>
      <w:sz w:val="48"/>
      <w:szCs w:val="48"/>
    </w:rPr>
  </w:style>
  <w:style w:type="paragraph" w:styleId="Heading3">
    <w:name w:val="heading 3"/>
    <w:basedOn w:val="Normal"/>
    <w:next w:val="Normal"/>
    <w:link w:val="3Char"/>
    <w:uiPriority w:val="9"/>
    <w:unhideWhenUsed/>
    <w:qFormat/>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7"/>
    <w:qFormat/>
    <w:pPr>
      <w:jc w:val="left"/>
    </w:pPr>
    <w:rPr>
      <w:szCs w:val="24"/>
    </w:rPr>
  </w:style>
  <w:style w:type="paragraph" w:styleId="BodyText">
    <w:name w:val="Body Text"/>
    <w:basedOn w:val="Normal"/>
    <w:link w:val="Char9"/>
    <w:uiPriority w:val="1"/>
    <w:qFormat/>
    <w:pPr>
      <w:autoSpaceDE w:val="0"/>
      <w:autoSpaceDN w:val="0"/>
      <w:jc w:val="left"/>
    </w:pPr>
    <w:rPr>
      <w:rFonts w:ascii="宋体" w:hAnsi="宋体" w:cs="宋体"/>
      <w:kern w:val="0"/>
      <w:szCs w:val="21"/>
      <w:lang w:val="zh-CN" w:bidi="zh-CN"/>
    </w:rPr>
  </w:style>
  <w:style w:type="paragraph" w:styleId="PlainText">
    <w:name w:val="Plain Text"/>
    <w:basedOn w:val="Normal"/>
    <w:link w:val="Char3"/>
    <w:qFormat/>
    <w:rPr>
      <w:rFonts w:ascii="宋体" w:hAnsi="Courier New"/>
      <w:szCs w:val="21"/>
      <w:lang w:val="zh-CN"/>
    </w:rPr>
  </w:style>
  <w:style w:type="paragraph" w:styleId="BalloonText">
    <w:name w:val="Balloon Text"/>
    <w:basedOn w:val="Normal"/>
    <w:link w:val="Char1"/>
    <w:uiPriority w:val="99"/>
    <w:semiHidden/>
    <w:unhideWhenUsed/>
    <w:qFormat/>
    <w:rPr>
      <w:sz w:val="18"/>
      <w:szCs w:val="18"/>
    </w:rPr>
  </w:style>
  <w:style w:type="paragraph" w:styleId="Footer">
    <w:name w:val="footer"/>
    <w:basedOn w:val="Normal"/>
    <w:link w:val="Char0"/>
    <w:uiPriority w:val="99"/>
    <w:unhideWhenUsed/>
    <w:qFormat/>
    <w:pPr>
      <w:tabs>
        <w:tab w:val="center" w:pos="4153"/>
        <w:tab w:val="right" w:pos="8306"/>
      </w:tabs>
      <w:snapToGrid w:val="0"/>
      <w:jc w:val="left"/>
    </w:pPr>
    <w:rPr>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link w:val="Char4"/>
    <w:uiPriority w:val="99"/>
    <w:unhideWhenUsed/>
    <w:qFormat/>
    <w:pPr>
      <w:widowControl/>
      <w:spacing w:before="100" w:beforeAutospacing="1" w:after="100" w:afterAutospacing="1"/>
      <w:jc w:val="left"/>
    </w:pPr>
    <w:rPr>
      <w:rFonts w:ascii="宋体" w:hAnsi="宋体"/>
      <w:kern w:val="0"/>
      <w:sz w:val="24"/>
      <w:szCs w:val="24"/>
      <w:lang w:val="zh-CN"/>
    </w:rPr>
  </w:style>
  <w:style w:type="paragraph" w:styleId="CommentSubject">
    <w:name w:val="annotation subject"/>
    <w:basedOn w:val="CommentText"/>
    <w:next w:val="CommentText"/>
    <w:link w:val="Char10"/>
    <w:uiPriority w:val="99"/>
    <w:semiHidden/>
    <w:unhideWhenUsed/>
    <w:qFormat/>
    <w:rPr>
      <w:b/>
      <w:bCs/>
      <w:szCs w:val="22"/>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Char">
    <w:name w:val="页眉 Char"/>
    <w:basedOn w:val="DefaultParagraphFont"/>
    <w:link w:val="Header"/>
    <w:uiPriority w:val="99"/>
    <w:qFormat/>
    <w:rPr>
      <w:sz w:val="18"/>
      <w:szCs w:val="18"/>
    </w:rPr>
  </w:style>
  <w:style w:type="character" w:customStyle="1" w:styleId="Char0">
    <w:name w:val="页脚 Char"/>
    <w:basedOn w:val="DefaultParagraphFont"/>
    <w:link w:val="Footer"/>
    <w:uiPriority w:val="99"/>
    <w:qFormat/>
    <w:rPr>
      <w:sz w:val="18"/>
      <w:szCs w:val="18"/>
    </w:rPr>
  </w:style>
  <w:style w:type="character" w:customStyle="1" w:styleId="Char1">
    <w:name w:val="批注框文本 Char"/>
    <w:basedOn w:val="DefaultParagraphFont"/>
    <w:link w:val="BalloonText"/>
    <w:uiPriority w:val="99"/>
    <w:semiHidden/>
    <w:qFormat/>
    <w:rPr>
      <w:sz w:val="18"/>
      <w:szCs w:val="18"/>
    </w:rPr>
  </w:style>
  <w:style w:type="paragraph" w:styleId="NoSpacing">
    <w:name w:val="No Spacing"/>
    <w:link w:val="Char2"/>
    <w:uiPriority w:val="99"/>
    <w:qFormat/>
    <w:rPr>
      <w:rFonts w:ascii="Times New Roman" w:eastAsia="宋体" w:hAnsi="Times New Roman" w:cs="Times New Roman"/>
      <w:sz w:val="22"/>
      <w:szCs w:val="22"/>
      <w:lang w:val="en-US" w:eastAsia="zh-CN" w:bidi="ar-SA"/>
    </w:rPr>
  </w:style>
  <w:style w:type="character" w:customStyle="1" w:styleId="Char2">
    <w:name w:val="无间隔 Char"/>
    <w:basedOn w:val="DefaultParagraphFont"/>
    <w:link w:val="NoSpacing"/>
    <w:uiPriority w:val="1"/>
    <w:qFormat/>
    <w:rPr>
      <w:kern w:val="0"/>
      <w:sz w:val="22"/>
    </w:rPr>
  </w:style>
  <w:style w:type="character" w:customStyle="1" w:styleId="DefaultParagraphChar">
    <w:name w:val="DefaultParagraph Char"/>
    <w:link w:val="DefaultParagraph"/>
    <w:qFormat/>
    <w:locked/>
    <w:rPr>
      <w:rFonts w:eastAsia="Times New Roman"/>
    </w:rPr>
  </w:style>
  <w:style w:type="paragraph" w:customStyle="1" w:styleId="DefaultParagraph">
    <w:name w:val="DefaultParagraph"/>
    <w:link w:val="DefaultParagraphChar"/>
    <w:qFormat/>
    <w:rPr>
      <w:rFonts w:ascii="Times New Roman" w:eastAsia="Times New Roman" w:hAnsi="Times New Roman" w:cs="Times New Roman"/>
      <w:kern w:val="2"/>
      <w:sz w:val="21"/>
      <w:szCs w:val="22"/>
      <w:lang w:val="en-US" w:eastAsia="zh-CN" w:bidi="ar-SA"/>
    </w:rPr>
  </w:style>
  <w:style w:type="paragraph" w:customStyle="1" w:styleId="Normal0">
    <w:name w:val="Normal_0"/>
    <w:qFormat/>
    <w:rPr>
      <w:rFonts w:ascii="Times New Romance" w:eastAsia="宋体" w:hAnsi="Times New Romance" w:cs="Times New Romance"/>
      <w:sz w:val="24"/>
      <w:szCs w:val="24"/>
      <w:lang w:val="en-US" w:eastAsia="zh-CN" w:bidi="ar-SA"/>
    </w:rPr>
  </w:style>
  <w:style w:type="paragraph" w:customStyle="1" w:styleId="1">
    <w:name w:val="宋体1"/>
    <w:basedOn w:val="Normal"/>
    <w:link w:val="1Char"/>
    <w:qFormat/>
    <w:pPr>
      <w:spacing w:line="360" w:lineRule="auto"/>
      <w:jc w:val="left"/>
    </w:pPr>
  </w:style>
  <w:style w:type="character" w:customStyle="1" w:styleId="1Char">
    <w:name w:val="宋体1 Char"/>
    <w:link w:val="1"/>
    <w:qFormat/>
    <w:rPr>
      <w:rFonts w:ascii="Times New Roman" w:eastAsia="宋体" w:hAnsi="Times New Roman" w:cs="Times New Roman"/>
    </w:rPr>
  </w:style>
  <w:style w:type="paragraph" w:customStyle="1" w:styleId="a">
    <w:name w:val="楷体有缩"/>
    <w:basedOn w:val="Normal"/>
    <w:qFormat/>
    <w:pPr>
      <w:widowControl/>
      <w:spacing w:line="360" w:lineRule="auto"/>
      <w:ind w:firstLine="200" w:firstLineChars="200"/>
    </w:pPr>
    <w:rPr>
      <w:rFonts w:eastAsia="楷体"/>
    </w:rPr>
  </w:style>
  <w:style w:type="paragraph" w:customStyle="1" w:styleId="15">
    <w:name w:val="宋缩1.5"/>
    <w:basedOn w:val="1"/>
    <w:link w:val="15Char"/>
    <w:qFormat/>
    <w:pPr>
      <w:ind w:left="150" w:leftChars="150"/>
    </w:pPr>
  </w:style>
  <w:style w:type="character" w:customStyle="1" w:styleId="15Char">
    <w:name w:val="宋缩1.5 Char"/>
    <w:basedOn w:val="1Char"/>
    <w:link w:val="15"/>
    <w:qFormat/>
    <w:rPr>
      <w:rFonts w:ascii="Times New Roman" w:eastAsia="宋体" w:hAnsi="Times New Roman" w:cs="Times New Roman"/>
    </w:rPr>
  </w:style>
  <w:style w:type="character" w:customStyle="1" w:styleId="Char3">
    <w:name w:val="纯文本 Char"/>
    <w:basedOn w:val="DefaultParagraphFont"/>
    <w:link w:val="PlainText"/>
    <w:qFormat/>
    <w:rPr>
      <w:rFonts w:ascii="宋体" w:eastAsia="宋体" w:hAnsi="Courier New" w:cs="Times New Roman"/>
      <w:szCs w:val="21"/>
      <w:lang w:val="zh-CN" w:eastAsia="zh-CN"/>
    </w:rPr>
  </w:style>
  <w:style w:type="character" w:customStyle="1" w:styleId="Char4">
    <w:name w:val="普通(网站) Char"/>
    <w:link w:val="NormalWeb"/>
    <w:uiPriority w:val="99"/>
    <w:qFormat/>
    <w:locked/>
    <w:rPr>
      <w:rFonts w:ascii="宋体" w:eastAsia="宋体" w:hAnsi="宋体" w:cs="Times New Roman"/>
      <w:kern w:val="0"/>
      <w:sz w:val="24"/>
      <w:szCs w:val="24"/>
      <w:lang w:val="zh-CN" w:eastAsia="zh-CN"/>
    </w:rPr>
  </w:style>
  <w:style w:type="paragraph" w:customStyle="1" w:styleId="a0">
    <w:name w:val="黑体红"/>
    <w:basedOn w:val="Normal"/>
    <w:link w:val="Char5"/>
    <w:qFormat/>
    <w:pPr>
      <w:adjustRightInd w:val="0"/>
      <w:snapToGrid w:val="0"/>
      <w:spacing w:line="360" w:lineRule="auto"/>
      <w:ind w:firstLine="420"/>
    </w:pPr>
    <w:rPr>
      <w:rFonts w:eastAsia="黑体"/>
      <w:bCs/>
      <w:color w:val="FF0000"/>
      <w:szCs w:val="21"/>
    </w:rPr>
  </w:style>
  <w:style w:type="character" w:customStyle="1" w:styleId="Char5">
    <w:name w:val="黑体红 Char"/>
    <w:link w:val="a0"/>
    <w:qFormat/>
    <w:rPr>
      <w:rFonts w:ascii="Times New Roman" w:eastAsia="黑体" w:hAnsi="Times New Roman" w:cs="Times New Roman"/>
      <w:bCs/>
      <w:color w:val="FF0000"/>
      <w:szCs w:val="21"/>
    </w:rPr>
  </w:style>
  <w:style w:type="paragraph" w:customStyle="1" w:styleId="0">
    <w:name w:val="正文_0"/>
    <w:qFormat/>
    <w:pPr>
      <w:widowControl w:val="0"/>
      <w:jc w:val="both"/>
    </w:pPr>
    <w:rPr>
      <w:rFonts w:ascii="Calibri" w:eastAsia="宋体" w:hAnsi="Calibri" w:cs="Times New Roman"/>
      <w:kern w:val="2"/>
      <w:sz w:val="21"/>
      <w:szCs w:val="22"/>
      <w:lang w:val="en-US" w:eastAsia="zh-CN" w:bidi="ar-SA"/>
    </w:rPr>
  </w:style>
  <w:style w:type="character" w:customStyle="1" w:styleId="1Char0">
    <w:name w:val="标题 1 Char"/>
    <w:basedOn w:val="DefaultParagraphFont"/>
    <w:link w:val="Heading1"/>
    <w:uiPriority w:val="9"/>
    <w:qFormat/>
    <w:rPr>
      <w:rFonts w:ascii="宋体" w:hAnsi="宋体" w:cs="宋体"/>
      <w:b/>
      <w:bCs/>
      <w:kern w:val="36"/>
      <w:sz w:val="48"/>
      <w:szCs w:val="48"/>
    </w:rPr>
  </w:style>
  <w:style w:type="character" w:customStyle="1" w:styleId="3Char">
    <w:name w:val="标题 3 Char"/>
    <w:basedOn w:val="DefaultParagraphFont"/>
    <w:link w:val="Heading3"/>
    <w:uiPriority w:val="9"/>
    <w:qFormat/>
    <w:rPr>
      <w:b/>
      <w:bCs/>
      <w:sz w:val="32"/>
      <w:szCs w:val="32"/>
    </w:rPr>
  </w:style>
  <w:style w:type="paragraph" w:customStyle="1" w:styleId="a1">
    <w:name w:val="楷体缩"/>
    <w:basedOn w:val="1"/>
    <w:link w:val="Char6"/>
    <w:qFormat/>
    <w:pPr>
      <w:ind w:firstLine="420" w:firstLineChars="200"/>
    </w:pPr>
    <w:rPr>
      <w:rFonts w:eastAsia="楷体"/>
      <w:color w:val="000000"/>
      <w:szCs w:val="21"/>
      <w:lang w:val="zh-CN"/>
    </w:rPr>
  </w:style>
  <w:style w:type="character" w:customStyle="1" w:styleId="Char6">
    <w:name w:val="楷体缩 Char"/>
    <w:link w:val="a1"/>
    <w:qFormat/>
    <w:rPr>
      <w:rFonts w:eastAsia="楷体"/>
      <w:color w:val="000000"/>
      <w:szCs w:val="21"/>
      <w:lang w:val="zh-CN" w:eastAsia="zh-CN"/>
    </w:rPr>
  </w:style>
  <w:style w:type="character" w:customStyle="1" w:styleId="subtitles0">
    <w:name w:val="sub_title s0"/>
    <w:basedOn w:val="DefaultParagraphFont"/>
    <w:qFormat/>
  </w:style>
  <w:style w:type="character" w:customStyle="1" w:styleId="Char7">
    <w:name w:val="批注文字 Char"/>
    <w:basedOn w:val="DefaultParagraphFont"/>
    <w:link w:val="CommentText"/>
    <w:qFormat/>
    <w:rPr>
      <w:szCs w:val="24"/>
    </w:rPr>
  </w:style>
  <w:style w:type="paragraph" w:customStyle="1" w:styleId="CharCharCharCharCharCharCharCharCharCharCharCharCharCharCharCharCharCharChar">
    <w:name w:val="Char Char Char Char Char Char Char Char Char Char Char Char Char Char Char Char Char Char Char"/>
    <w:basedOn w:val="Normal"/>
    <w:qFormat/>
    <w:pPr>
      <w:widowControl/>
      <w:adjustRightInd w:val="0"/>
      <w:spacing w:line="300" w:lineRule="auto"/>
      <w:ind w:firstLine="200" w:firstLineChars="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ListParagraph">
    <w:name w:val="List Paragraph"/>
    <w:basedOn w:val="Normal"/>
    <w:uiPriority w:val="99"/>
    <w:qFormat/>
    <w:pPr>
      <w:ind w:firstLine="420" w:firstLineChars="200"/>
    </w:pPr>
    <w:rPr>
      <w:rFonts w:ascii="Calibri" w:hAnsi="Calibri"/>
    </w:rPr>
  </w:style>
  <w:style w:type="character" w:customStyle="1" w:styleId="apple-converted-space">
    <w:name w:val="apple-converted-space"/>
    <w:qFormat/>
  </w:style>
  <w:style w:type="paragraph" w:customStyle="1" w:styleId="p">
    <w:name w:val="p"/>
    <w:basedOn w:val="Normal"/>
    <w:qFormat/>
    <w:pPr>
      <w:widowControl/>
      <w:spacing w:line="300" w:lineRule="auto"/>
      <w:jc w:val="left"/>
    </w:pPr>
    <w:rPr>
      <w:kern w:val="0"/>
      <w:sz w:val="24"/>
      <w:szCs w:val="24"/>
    </w:rPr>
  </w:style>
  <w:style w:type="paragraph" w:customStyle="1" w:styleId="Normal1">
    <w:name w:val="Normal_1"/>
    <w:qFormat/>
    <w:pPr>
      <w:widowControl w:val="0"/>
      <w:jc w:val="both"/>
    </w:pPr>
    <w:rPr>
      <w:rFonts w:ascii="Times New Roman" w:eastAsia="宋体" w:hAnsi="Times New Roman" w:cs="宋体"/>
      <w:kern w:val="2"/>
      <w:sz w:val="21"/>
      <w:szCs w:val="22"/>
      <w:lang w:val="en-US" w:eastAsia="zh-CN" w:bidi="ar-SA"/>
    </w:rPr>
  </w:style>
  <w:style w:type="paragraph" w:customStyle="1" w:styleId="a2">
    <w:name w:val="楷体"/>
    <w:basedOn w:val="Normal"/>
    <w:link w:val="Char8"/>
    <w:qFormat/>
    <w:pPr>
      <w:adjustRightInd w:val="0"/>
      <w:snapToGrid w:val="0"/>
      <w:spacing w:line="360" w:lineRule="auto"/>
    </w:pPr>
    <w:rPr>
      <w:rFonts w:eastAsia="楷体"/>
      <w:bCs/>
      <w:szCs w:val="21"/>
    </w:rPr>
  </w:style>
  <w:style w:type="character" w:customStyle="1" w:styleId="Char8">
    <w:name w:val="楷体 Char"/>
    <w:link w:val="a2"/>
    <w:qFormat/>
    <w:rPr>
      <w:rFonts w:eastAsia="楷体"/>
      <w:bCs/>
      <w:szCs w:val="21"/>
    </w:rPr>
  </w:style>
  <w:style w:type="character" w:customStyle="1" w:styleId="0Char">
    <w:name w:val="正文_0 Char"/>
    <w:link w:val="00"/>
    <w:qFormat/>
  </w:style>
  <w:style w:type="paragraph" w:customStyle="1" w:styleId="00">
    <w:name w:val="正文_0_0"/>
    <w:link w:val="0Char"/>
    <w:qFormat/>
    <w:pPr>
      <w:widowControl w:val="0"/>
      <w:jc w:val="both"/>
    </w:pPr>
    <w:rPr>
      <w:rFonts w:ascii="Times New Roman" w:eastAsia="宋体" w:hAnsi="Times New Roman" w:cs="Times New Roman"/>
      <w:kern w:val="2"/>
      <w:sz w:val="21"/>
      <w:szCs w:val="22"/>
      <w:lang w:val="en-US" w:eastAsia="zh-CN" w:bidi="ar-SA"/>
    </w:rPr>
  </w:style>
  <w:style w:type="character" w:customStyle="1" w:styleId="Char9">
    <w:name w:val="正文文本 Char"/>
    <w:basedOn w:val="DefaultParagraphFont"/>
    <w:link w:val="BodyText"/>
    <w:uiPriority w:val="1"/>
    <w:qFormat/>
    <w:rPr>
      <w:rFonts w:ascii="宋体" w:hAnsi="宋体" w:cs="宋体"/>
      <w:kern w:val="0"/>
      <w:szCs w:val="21"/>
      <w:lang w:val="zh-CN" w:bidi="zh-CN"/>
    </w:rPr>
  </w:style>
  <w:style w:type="character" w:customStyle="1" w:styleId="Char10">
    <w:name w:val="批注主题 Char"/>
    <w:basedOn w:val="Char7"/>
    <w:link w:val="CommentSubject"/>
    <w:uiPriority w:val="99"/>
    <w:semiHidden/>
    <w:qFormat/>
    <w:rPr>
      <w:b/>
      <w:bCs/>
      <w:szCs w:val="24"/>
    </w:rPr>
  </w:style>
  <w:style w:type="paragraph" w:customStyle="1" w:styleId="Bodytext1">
    <w:name w:val="Body text|1"/>
    <w:basedOn w:val="Normal"/>
    <w:qFormat/>
    <w:pPr>
      <w:spacing w:after="200" w:line="403" w:lineRule="auto"/>
      <w:ind w:firstLine="320"/>
      <w:jc w:val="left"/>
    </w:pPr>
    <w:rPr>
      <w:rFonts w:ascii="宋体" w:hAnsi="宋体" w:cs="宋体"/>
      <w:kern w:val="0"/>
      <w:sz w:val="20"/>
      <w:szCs w:val="20"/>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footer2.xml.rels><?xml version="1.0" encoding="utf-8" standalone="yes"?><Relationships xmlns="http://schemas.openxmlformats.org/package/2006/relationships"><Relationship Id="rId1" Type="http://schemas.openxmlformats.org/officeDocument/2006/relationships/image" Target="media/image7.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6.png" /><Relationship Id="rId2" Type="http://schemas.openxmlformats.org/officeDocument/2006/relationships/image" Target="media/image7.png" /><Relationship Id="rId3"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737BE-E781-4FB9-B53F-3F90554ADFA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7548</Words>
  <Characters>7725</Characters>
  <Application>Microsoft Office Word</Application>
  <DocSecurity>0</DocSecurity>
  <Lines>110</Lines>
  <Paragraphs>31</Paragraphs>
  <ScaleCrop>false</ScaleCrop>
  <Company>zxxk.com</Company>
  <LinksUpToDate>false</LinksUpToDate>
  <CharactersWithSpaces>7892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WSJ</dc:creator>
  <dc:description>原创精品资源学科网独家享有版权，侵权必究！</dc:description>
  <cp:lastModifiedBy>橐吾</cp:lastModifiedBy>
  <cp:revision>1128</cp:revision>
  <cp:lastPrinted>2020-03-27T10:08:00Z</cp:lastPrinted>
  <dcterms:created xsi:type="dcterms:W3CDTF">2019-10-16T06:18:00Z</dcterms:created>
  <dcterms:modified xsi:type="dcterms:W3CDTF">2025-04-18T09:00:28Z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