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6AAD8BC2">
      <w:pPr>
        <w:widowControl/>
        <w:spacing w:before="0" w:after="0" w:line="360" w:lineRule="auto"/>
        <w:ind w:left="315" w:firstLine="0"/>
        <w:jc w:val="center"/>
        <w:rPr>
          <w:rFonts w:ascii="Times New Roman" w:eastAsia="黑体" w:hAnsi="Times New Roman" w:cs="Times New Roman" w:hint="default"/>
          <w:sz w:val="32"/>
          <w:szCs w:val="32"/>
        </w:rPr>
      </w:pPr>
      <w:r>
        <w:rPr>
          <w:rFonts w:ascii="Times New Roman" w:hAnsi="Times New Roman" w:cs="Times New Roman" w:hint="default"/>
          <w:b/>
          <w:sz w:val="32"/>
          <w:szCs w:val="32"/>
        </w:rPr>
        <w:drawing>
          <wp:anchor simplePos="0" relativeHeight="251658240" behindDoc="0" locked="0" layoutInCell="1" allowOverlap="1">
            <wp:simplePos x="0" y="0"/>
            <wp:positionH relativeFrom="page">
              <wp:posOffset>12077700</wp:posOffset>
            </wp:positionH>
            <wp:positionV relativeFrom="topMargin">
              <wp:posOffset>11049000</wp:posOffset>
            </wp:positionV>
            <wp:extent cx="469900" cy="431800"/>
            <wp:wrapNone/>
            <wp:docPr id="10005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
                    <pic:cNvPicPr>
                      <a:picLocks noChangeAspect="1"/>
                    </pic:cNvPicPr>
                  </pic:nvPicPr>
                  <pic:blipFill>
                    <a:blip xmlns:r="http://schemas.openxmlformats.org/officeDocument/2006/relationships" r:embed="rId5"/>
                    <a:stretch>
                      <a:fillRect/>
                    </a:stretch>
                  </pic:blipFill>
                  <pic:spPr>
                    <a:xfrm>
                      <a:off x="0" y="0"/>
                      <a:ext cx="469900" cy="431800"/>
                    </a:xfrm>
                    <a:prstGeom prst="rect">
                      <a:avLst/>
                    </a:prstGeom>
                  </pic:spPr>
                </pic:pic>
              </a:graphicData>
            </a:graphic>
          </wp:anchor>
        </w:drawing>
      </w:r>
      <w:r>
        <w:rPr>
          <w:rFonts w:ascii="Times New Roman" w:hAnsi="Times New Roman" w:cs="Times New Roman" w:hint="default"/>
          <w:b/>
          <w:sz w:val="32"/>
          <w:szCs w:val="32"/>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11811000</wp:posOffset>
            </wp:positionV>
            <wp:extent cx="279400" cy="330200"/>
            <wp:effectExtent l="0" t="0" r="6350" b="12700"/>
            <wp:wrapNone/>
            <wp:docPr id="100013" name="图片 10001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
                    <pic:cNvPicPr>
                      <a:picLocks noChangeAspect="1"/>
                    </pic:cNvPicPr>
                  </pic:nvPicPr>
                  <pic:blipFill>
                    <a:blip xmlns:r="http://schemas.openxmlformats.org/officeDocument/2006/relationships" r:embed="rId6"/>
                    <a:stretch>
                      <a:fillRect/>
                    </a:stretch>
                  </pic:blipFill>
                  <pic:spPr>
                    <a:xfrm>
                      <a:off x="0" y="0"/>
                      <a:ext cx="279400" cy="330200"/>
                    </a:xfrm>
                    <a:prstGeom prst="rect">
                      <a:avLst/>
                    </a:prstGeom>
                  </pic:spPr>
                </pic:pic>
              </a:graphicData>
            </a:graphic>
          </wp:anchor>
        </w:drawing>
      </w:r>
      <w:r>
        <w:rPr>
          <w:rFonts w:ascii="Times New Roman" w:hAnsi="Times New Roman" w:cs="Times New Roman" w:hint="default"/>
          <w:b/>
          <w:sz w:val="32"/>
          <w:szCs w:val="32"/>
        </w:rPr>
        <w:t>202</w:t>
      </w:r>
      <w:r>
        <w:rPr>
          <w:rFonts w:ascii="Times New Roman" w:hAnsi="Times New Roman" w:cs="Times New Roman" w:hint="default"/>
          <w:b/>
          <w:sz w:val="32"/>
          <w:szCs w:val="32"/>
          <w:lang w:val="en-US" w:eastAsia="zh-CN"/>
        </w:rPr>
        <w:t>5</w:t>
      </w:r>
      <w:r>
        <w:rPr>
          <w:rFonts w:ascii="Times New Roman" w:hAnsi="Times New Roman" w:cs="Times New Roman" w:hint="default"/>
          <w:b/>
          <w:sz w:val="32"/>
          <w:szCs w:val="32"/>
        </w:rPr>
        <w:t>年高考押题</w:t>
      </w:r>
      <w:r>
        <w:rPr>
          <w:rFonts w:ascii="Times New Roman" w:hAnsi="Times New Roman" w:cs="Times New Roman" w:hint="default"/>
          <w:b/>
          <w:sz w:val="32"/>
          <w:szCs w:val="32"/>
          <w:lang w:val="en-US" w:eastAsia="zh-CN"/>
        </w:rPr>
        <w:t>预测</w:t>
      </w:r>
      <w:r>
        <w:rPr>
          <w:rFonts w:ascii="Times New Roman" w:hAnsi="Times New Roman" w:cs="Times New Roman" w:hint="default"/>
          <w:b/>
          <w:sz w:val="32"/>
          <w:szCs w:val="32"/>
        </w:rPr>
        <w:t>卷（</w:t>
      </w:r>
      <w:r>
        <w:rPr>
          <w:rFonts w:cs="Times New Roman" w:hint="eastAsia"/>
          <w:b/>
          <w:sz w:val="32"/>
          <w:szCs w:val="32"/>
          <w:lang w:val="en-US" w:eastAsia="zh-CN"/>
        </w:rPr>
        <w:t>浙江</w:t>
      </w:r>
      <w:r>
        <w:rPr>
          <w:rFonts w:ascii="Times New Roman" w:hAnsi="Times New Roman" w:cs="Times New Roman" w:hint="default"/>
          <w:b/>
          <w:sz w:val="32"/>
          <w:szCs w:val="32"/>
        </w:rPr>
        <w:t>卷</w:t>
      </w:r>
      <w:r>
        <w:rPr>
          <w:rFonts w:cs="Times New Roman" w:hint="eastAsia"/>
          <w:b/>
          <w:sz w:val="32"/>
          <w:szCs w:val="32"/>
          <w:lang w:val="en-US" w:eastAsia="zh-CN"/>
        </w:rPr>
        <w:t>02</w:t>
      </w:r>
      <w:r>
        <w:rPr>
          <w:rFonts w:ascii="Times New Roman" w:hAnsi="Times New Roman" w:cs="Times New Roman" w:hint="default"/>
          <w:b/>
          <w:sz w:val="32"/>
          <w:szCs w:val="32"/>
        </w:rPr>
        <w:t>）</w:t>
      </w:r>
    </w:p>
    <w:p w14:paraId="19426E5A">
      <w:pPr>
        <w:widowControl/>
        <w:spacing w:before="0" w:after="0" w:line="360" w:lineRule="auto"/>
        <w:ind w:left="315" w:firstLine="0"/>
        <w:jc w:val="center"/>
        <w:rPr>
          <w:rFonts w:ascii="Times New Roman" w:eastAsia="黑体" w:hAnsi="Times New Roman" w:cs="Times New Roman" w:hint="default"/>
          <w:color w:val="000000"/>
          <w:sz w:val="44"/>
          <w:szCs w:val="44"/>
        </w:rPr>
      </w:pPr>
      <w:r>
        <w:rPr>
          <w:rFonts w:ascii="Times New Roman" w:eastAsia="黑体" w:hAnsi="Times New Roman" w:cs="Times New Roman" w:hint="default"/>
          <w:color w:val="000000"/>
          <w:sz w:val="44"/>
          <w:szCs w:val="44"/>
        </w:rPr>
        <w:t>政治</w:t>
      </w:r>
    </w:p>
    <w:p w14:paraId="6B383373">
      <w:pPr>
        <w:adjustRightInd w:val="0"/>
        <w:spacing w:before="0" w:after="0" w:line="360" w:lineRule="auto"/>
        <w:ind w:left="315" w:firstLine="0"/>
        <w:jc w:val="center"/>
        <w:textAlignment w:val="center"/>
        <w:rPr>
          <w:rFonts w:ascii="Times New Roman" w:eastAsia="楷体" w:hAnsi="Times New Roman" w:cs="Times New Roman" w:hint="default"/>
          <w:kern w:val="0"/>
        </w:rPr>
      </w:pPr>
      <w:r>
        <w:rPr>
          <w:rFonts w:ascii="Times New Roman" w:eastAsia="楷体" w:hAnsi="Times New Roman" w:cs="Times New Roman" w:hint="default"/>
          <w:kern w:val="0"/>
        </w:rPr>
        <w:t>（考试时间：</w:t>
      </w:r>
      <w:r>
        <w:rPr>
          <w:rFonts w:ascii="Times New Roman" w:eastAsia="楷体" w:hAnsi="Times New Roman" w:cs="Times New Roman" w:hint="eastAsia"/>
          <w:kern w:val="0"/>
          <w:lang w:val="en-US" w:eastAsia="zh-CN"/>
        </w:rPr>
        <w:t>90</w:t>
      </w:r>
      <w:r>
        <w:rPr>
          <w:rFonts w:ascii="Times New Roman" w:eastAsia="楷体" w:hAnsi="Times New Roman" w:cs="Times New Roman" w:hint="default"/>
          <w:kern w:val="0"/>
        </w:rPr>
        <w:t>分钟  试卷满分：</w:t>
      </w:r>
      <w:r>
        <w:rPr>
          <w:rFonts w:ascii="Times New Roman" w:eastAsia="楷体" w:hAnsi="Times New Roman" w:cs="Times New Roman" w:hint="default"/>
          <w:kern w:val="0"/>
          <w:lang w:val="en-US" w:eastAsia="zh-CN"/>
        </w:rPr>
        <w:t>100</w:t>
      </w:r>
      <w:r>
        <w:rPr>
          <w:rFonts w:ascii="Times New Roman" w:eastAsia="楷体" w:hAnsi="Times New Roman" w:cs="Times New Roman" w:hint="default"/>
          <w:kern w:val="0"/>
        </w:rPr>
        <w:t>分</w:t>
      </w:r>
      <w:bookmarkStart w:id="0" w:name="_GoBack"/>
      <w:bookmarkEnd w:id="0"/>
      <w:r>
        <w:rPr>
          <w:rFonts w:ascii="Times New Roman" w:eastAsia="楷体" w:hAnsi="Times New Roman" w:cs="Times New Roman" w:hint="default"/>
          <w:kern w:val="0"/>
        </w:rPr>
        <w:t>）</w:t>
      </w:r>
    </w:p>
    <w:p w14:paraId="6D053640">
      <w:pPr>
        <w:overflowPunct w:val="0"/>
        <w:adjustRightInd w:val="0"/>
        <w:spacing w:before="0" w:after="0" w:line="360" w:lineRule="auto"/>
        <w:ind w:left="420" w:hanging="420" w:hangingChars="200"/>
        <w:textAlignment w:val="center"/>
        <w:rPr>
          <w:rFonts w:ascii="Times New Roman" w:eastAsia="黑体" w:hAnsi="Times New Roman" w:cs="Times New Roman" w:hint="default"/>
          <w:b/>
          <w:spacing w:val="2"/>
          <w:kern w:val="0"/>
          <w:szCs w:val="21"/>
        </w:rPr>
      </w:pPr>
      <w:r>
        <w:rPr>
          <w:rFonts w:ascii="Times New Roman" w:eastAsia="黑体" w:hAnsi="Times New Roman" w:cs="Times New Roman" w:hint="default"/>
          <w:b/>
          <w:spacing w:val="2"/>
          <w:kern w:val="0"/>
          <w:szCs w:val="21"/>
        </w:rPr>
        <w:t>注意事项：</w:t>
      </w:r>
    </w:p>
    <w:p w14:paraId="7E65E298">
      <w:pPr>
        <w:overflowPunct w:val="0"/>
        <w:adjustRightInd w:val="0"/>
        <w:spacing w:before="0" w:after="0" w:line="360" w:lineRule="auto"/>
        <w:ind w:left="735" w:hanging="315"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1．答卷前，考生务必将自己的姓名、准考证号等填写在答题卡和试卷指定位置上。</w:t>
      </w:r>
    </w:p>
    <w:p w14:paraId="5BF14C40">
      <w:pPr>
        <w:overflowPunct w:val="0"/>
        <w:adjustRightInd w:val="0"/>
        <w:spacing w:before="0" w:after="0" w:line="360" w:lineRule="auto"/>
        <w:ind w:left="735" w:hanging="315"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2．回答选择题时，选出每小题答案后，用铅笔把答题卡上对应题目的答案标号涂黑。如</w:t>
      </w:r>
    </w:p>
    <w:p w14:paraId="0D18D164">
      <w:pPr>
        <w:overflowPunct w:val="0"/>
        <w:adjustRightInd w:val="0"/>
        <w:spacing w:before="0" w:after="0" w:line="360" w:lineRule="auto"/>
        <w:ind w:left="420" w:hanging="420" w:hanging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需改动，用橡皮擦干净后，再选涂其他答案标号。回答非选择题时，将答案写在答题卡上。写</w:t>
      </w:r>
    </w:p>
    <w:p w14:paraId="52A3F171">
      <w:pPr>
        <w:overflowPunct w:val="0"/>
        <w:adjustRightInd w:val="0"/>
        <w:spacing w:before="0" w:after="0" w:line="360" w:lineRule="auto"/>
        <w:ind w:left="420" w:hanging="420" w:hanging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在本试卷上无效。</w:t>
      </w:r>
    </w:p>
    <w:p w14:paraId="7975D200">
      <w:pPr>
        <w:numPr>
          <w:ilvl w:val="0"/>
          <w:numId w:val="11"/>
        </w:numPr>
        <w:overflowPunct w:val="0"/>
        <w:adjustRightInd w:val="0"/>
        <w:spacing w:before="0" w:after="0" w:line="360" w:lineRule="auto"/>
        <w:ind w:left="420" w:firstLine="0"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考试结束后，将本试卷和答题卡一并交回</w:t>
      </w:r>
      <w:r>
        <w:rPr>
          <w:rFonts w:ascii="Times New Roman" w:eastAsia="黑体" w:hAnsi="Times New Roman" w:cs="Times New Roman" w:hint="default"/>
          <w:spacing w:val="2"/>
          <w:kern w:val="0"/>
          <w:szCs w:val="21"/>
          <w:lang w:eastAsia="zh-CN"/>
        </w:rPr>
        <w:t>。</w:t>
      </w:r>
    </w:p>
    <w:p w14:paraId="35C05194">
      <w:pPr>
        <w:numPr>
          <w:numId w:val="0"/>
        </w:numPr>
        <w:overflowPunct w:val="0"/>
        <w:adjustRightInd w:val="0"/>
        <w:spacing w:before="0" w:after="0" w:line="360" w:lineRule="auto"/>
        <w:ind w:left="420" w:leftChars="200"/>
        <w:textAlignment w:val="center"/>
        <w:rPr>
          <w:rFonts w:ascii="Times New Roman" w:eastAsia="黑体" w:hAnsi="Times New Roman" w:cs="Times New Roman" w:hint="default"/>
          <w:spacing w:val="2"/>
          <w:kern w:val="0"/>
          <w:szCs w:val="21"/>
        </w:rPr>
      </w:pPr>
    </w:p>
    <w:p w14:paraId="2DC8F7CB">
      <w:pPr>
        <w:widowControl/>
        <w:spacing w:before="0" w:after="0" w:line="360" w:lineRule="auto"/>
        <w:ind w:left="315" w:firstLine="0"/>
        <w:jc w:val="center"/>
        <w:textAlignment w:val="center"/>
        <w:rPr>
          <w:rFonts w:ascii="Times New Roman" w:eastAsia="黑体" w:hAnsi="Times New Roman" w:cs="Times New Roman"/>
          <w:spacing w:val="2"/>
          <w:kern w:val="0"/>
          <w:sz w:val="32"/>
          <w:szCs w:val="32"/>
        </w:rPr>
      </w:pPr>
      <w:r>
        <w:rPr>
          <w:rFonts w:ascii="Times New Roman" w:hAnsi="Times New Roman" w:cs="Times New Roman"/>
          <w:sz w:val="32"/>
          <w:szCs w:val="32"/>
        </w:rPr>
        <w:t>第Ⅰ卷</w:t>
      </w:r>
      <w:r>
        <w:rPr>
          <w:rFonts w:ascii="宋体" w:eastAsia="宋体" w:hAnsi="宋体" w:cs="宋体"/>
          <w:b/>
          <w:color w:val="auto"/>
          <w:sz w:val="32"/>
          <w:szCs w:val="32"/>
        </w:rPr>
        <w:t>选择题部分</w:t>
      </w:r>
    </w:p>
    <w:p w14:paraId="1E8E9060">
      <w:pPr>
        <w:spacing w:before="0" w:after="0" w:line="360" w:lineRule="auto"/>
        <w:ind w:left="0" w:firstLine="0"/>
        <w:jc w:val="left"/>
        <w:rPr>
          <w:rFonts w:ascii="Times New Roman" w:hAnsi="Times New Roman"/>
        </w:rPr>
      </w:pPr>
      <w:r>
        <w:rPr>
          <w:rFonts w:ascii="宋体" w:eastAsia="宋体" w:hAnsi="宋体" w:cs="宋体"/>
          <w:b/>
          <w:color w:val="auto"/>
          <w:sz w:val="24"/>
        </w:rPr>
        <w:t>一、选择题(本大题共1</w:t>
      </w:r>
      <w:r>
        <w:rPr>
          <w:rFonts w:ascii="宋体" w:hAnsi="宋体" w:cs="宋体" w:hint="eastAsia"/>
          <w:b/>
          <w:color w:val="auto"/>
          <w:sz w:val="24"/>
          <w:lang w:val="en-US" w:eastAsia="zh-CN"/>
        </w:rPr>
        <w:t>6</w:t>
      </w:r>
      <w:r>
        <w:rPr>
          <w:rFonts w:ascii="宋体" w:eastAsia="宋体" w:hAnsi="宋体" w:cs="宋体"/>
          <w:b/>
          <w:color w:val="auto"/>
          <w:sz w:val="24"/>
        </w:rPr>
        <w:t>小题，每小题2分,共3</w:t>
      </w:r>
      <w:r>
        <w:rPr>
          <w:rFonts w:ascii="宋体" w:hAnsi="宋体" w:cs="宋体" w:hint="eastAsia"/>
          <w:b/>
          <w:color w:val="auto"/>
          <w:sz w:val="24"/>
          <w:lang w:val="en-US" w:eastAsia="zh-CN"/>
        </w:rPr>
        <w:t>2</w:t>
      </w:r>
      <w:r>
        <w:rPr>
          <w:rFonts w:ascii="宋体" w:eastAsia="宋体" w:hAnsi="宋体" w:cs="宋体"/>
          <w:b/>
          <w:color w:val="auto"/>
          <w:sz w:val="24"/>
        </w:rPr>
        <w:t>分。每小题列出的四个备选项中只有一个是符合题目要求的，不选、多选，错选均不得分)</w:t>
      </w:r>
    </w:p>
    <w:p w14:paraId="45CBC463">
      <w:pPr>
        <w:shd w:val="clear" w:color="auto" w:fill="auto"/>
        <w:spacing w:before="0" w:after="0" w:line="360" w:lineRule="auto"/>
        <w:ind w:left="315" w:hanging="315"/>
        <w:jc w:val="left"/>
        <w:textAlignment w:val="center"/>
        <w:rPr>
          <w:rFonts w:ascii="Times New Roman" w:hAnsi="Times New Roman"/>
          <w:sz w:val="21"/>
        </w:rPr>
      </w:pPr>
      <w:r>
        <w:rPr>
          <w:rFonts w:ascii="Times New Roman" w:hAnsi="Times New Roman"/>
          <w:sz w:val="21"/>
        </w:rPr>
        <w:t>1．习近平主席在二〇二五年新年贺词中指出：“中国式现代化的新征程上，每一个人都是主角，每一份付出都弥足珍贵，每一束光芒都熠熠生辉。”奋进中国式现代化的新征程上，施展才干的舞台无比广阔，每个人都有人生出彩的机会。作为当代中国青年，在时代的大舞台上，我们必须（</w:t>
      </w:r>
      <w:r>
        <w:rPr>
          <w:rFonts w:ascii="Times New Roman" w:eastAsia="Times New Roman" w:hAnsi="Times New Roman" w:cs="Times New Roman"/>
          <w:kern w:val="0"/>
          <w:sz w:val="24"/>
          <w:szCs w:val="24"/>
        </w:rPr>
        <w:t>   </w:t>
      </w:r>
      <w:r>
        <w:rPr>
          <w:rFonts w:ascii="Times New Roman" w:hAnsi="Times New Roman"/>
          <w:sz w:val="21"/>
        </w:rPr>
        <w:t>）</w:t>
      </w:r>
    </w:p>
    <w:p w14:paraId="2A78F121">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①志存高远，脚踏实地，自觉肩负起民族独立、人民解放的历史使命</w:t>
      </w:r>
    </w:p>
    <w:p w14:paraId="29134A21">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②坚定理想信念，厚植家国情怀，与国家同呼吸，与人民共命运</w:t>
      </w:r>
    </w:p>
    <w:p w14:paraId="7F2FE6F4">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③胸怀天下之志，把国家和民族的伟大梦想融入自己的人生理想之中</w:t>
      </w:r>
    </w:p>
    <w:p w14:paraId="6FF7E1AA">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④挺膺担当，锐意进取，在民族复兴伟业中展现青春作为、贡献青春力量</w:t>
      </w:r>
    </w:p>
    <w:p w14:paraId="10ECCC52">
      <w:pPr>
        <w:shd w:val="clear" w:color="auto" w:fill="auto"/>
        <w:tabs>
          <w:tab w:val="left" w:pos="2078"/>
          <w:tab w:val="left" w:pos="4156"/>
          <w:tab w:val="left" w:pos="6234"/>
        </w:tabs>
        <w:spacing w:before="0" w:after="0" w:line="360" w:lineRule="auto"/>
        <w:ind w:left="315" w:firstLine="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B．①③</w:t>
      </w:r>
      <w:r>
        <w:rPr>
          <w:rFonts w:ascii="Times New Roman" w:hAnsi="Times New Roman"/>
          <w:sz w:val="21"/>
        </w:rPr>
        <w:tab/>
      </w:r>
      <w:r>
        <w:rPr>
          <w:rFonts w:ascii="Times New Roman" w:hAnsi="Times New Roman"/>
          <w:sz w:val="21"/>
        </w:rPr>
        <w:t>C．②④</w:t>
      </w:r>
      <w:r>
        <w:rPr>
          <w:rFonts w:ascii="Times New Roman" w:hAnsi="Times New Roman"/>
          <w:sz w:val="21"/>
        </w:rPr>
        <w:tab/>
      </w:r>
      <w:r>
        <w:rPr>
          <w:rFonts w:ascii="Times New Roman" w:hAnsi="Times New Roman"/>
          <w:sz w:val="21"/>
        </w:rPr>
        <w:t>D．③④</w:t>
      </w:r>
    </w:p>
    <w:p w14:paraId="450B833D">
      <w:pPr>
        <w:shd w:val="clear" w:color="auto" w:fill="auto"/>
        <w:spacing w:before="0" w:after="0" w:line="360" w:lineRule="auto"/>
        <w:ind w:left="315" w:hanging="315"/>
        <w:jc w:val="left"/>
        <w:textAlignment w:val="center"/>
        <w:rPr>
          <w:rFonts w:ascii="Times New Roman" w:hAnsi="Times New Roman"/>
          <w:sz w:val="21"/>
        </w:rPr>
      </w:pPr>
      <w:r>
        <w:rPr>
          <w:rFonts w:ascii="Times New Roman" w:hAnsi="Times New Roman"/>
          <w:sz w:val="21"/>
        </w:rPr>
        <w:t>2．中共中央总书记、国家主席、中央军委主席习近平在纪念邓小平同志诞辰120周年座谈会上强调，邓小平同志留给我们最重要的思想财富，就是以他为主创立的邓小平理论。把邓小平理论确立为党和国家的指导思想，是党和人民从历史和现实中得出的不可动摇的结论。这基于邓小平理论是（</w:t>
      </w:r>
      <w:r>
        <w:rPr>
          <w:rFonts w:ascii="Times New Roman" w:eastAsia="Times New Roman" w:hAnsi="Times New Roman" w:cs="Times New Roman"/>
          <w:kern w:val="0"/>
          <w:sz w:val="24"/>
          <w:szCs w:val="24"/>
        </w:rPr>
        <w:t>   </w:t>
      </w:r>
      <w:r>
        <w:rPr>
          <w:rFonts w:ascii="Times New Roman" w:hAnsi="Times New Roman"/>
          <w:sz w:val="21"/>
        </w:rPr>
        <w:t>）</w:t>
      </w:r>
    </w:p>
    <w:p w14:paraId="6486CC01">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①中国特色社会主义理论体系的奠基之作</w:t>
      </w:r>
    </w:p>
    <w:p w14:paraId="3927A423">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②改革开放以来党的全部理论和实践的主题</w:t>
      </w:r>
    </w:p>
    <w:p w14:paraId="294E93C6">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③我国改革开放和社会主义现代化建设的行动指南</w:t>
      </w:r>
    </w:p>
    <w:p w14:paraId="52F8352C">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④立足时代之基、回答时代之问、引领时代之变的科学理论</w:t>
      </w:r>
    </w:p>
    <w:p w14:paraId="428ADC26">
      <w:pPr>
        <w:shd w:val="clear" w:color="auto" w:fill="auto"/>
        <w:tabs>
          <w:tab w:val="left" w:pos="2078"/>
          <w:tab w:val="left" w:pos="4156"/>
          <w:tab w:val="left" w:pos="6234"/>
        </w:tabs>
        <w:spacing w:before="0" w:after="0" w:line="360" w:lineRule="auto"/>
        <w:ind w:left="315" w:firstLine="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B．①③</w:t>
      </w:r>
      <w:r>
        <w:rPr>
          <w:rFonts w:ascii="Times New Roman" w:hAnsi="Times New Roman"/>
          <w:sz w:val="21"/>
        </w:rPr>
        <w:tab/>
      </w:r>
      <w:r>
        <w:rPr>
          <w:rFonts w:ascii="Times New Roman" w:hAnsi="Times New Roman"/>
          <w:sz w:val="21"/>
        </w:rPr>
        <w:t>C．②④</w:t>
      </w:r>
      <w:r>
        <w:rPr>
          <w:rFonts w:ascii="Times New Roman" w:hAnsi="Times New Roman"/>
          <w:sz w:val="21"/>
        </w:rPr>
        <w:tab/>
      </w:r>
      <w:r>
        <w:rPr>
          <w:rFonts w:ascii="Times New Roman" w:hAnsi="Times New Roman"/>
          <w:sz w:val="21"/>
        </w:rPr>
        <w:t>D．③④</w:t>
      </w:r>
    </w:p>
    <w:p w14:paraId="13EE715F">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hanging="315"/>
        <w:jc w:val="left"/>
        <w:textAlignment w:val="center"/>
        <w:rPr>
          <w:rFonts w:ascii="Times New Roman" w:hAnsi="Times New Roman"/>
          <w:sz w:val="21"/>
        </w:rPr>
      </w:pPr>
      <w:r>
        <w:rPr>
          <w:rFonts w:ascii="Times New Roman" w:hAnsi="Times New Roman"/>
          <w:sz w:val="21"/>
        </w:rPr>
        <w:t>3．</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rFonts w:ascii="Times New Roman" w:hAnsi="Times New Roman"/>
          <w:sz w:val="21"/>
        </w:rPr>
        <w:t>“只有创造过辉煌的民族，才懂得复兴的意义；只有经历过苦难的民族，才对复兴有如此深切的渴望。”如今，中华民族伟大复兴进入新时代，我们具备过去难以想象的良好发展条件，比历史上任何时期都更接近、更有信心和能力实现中华民族伟大复兴的中国梦。这意味着（</w:t>
      </w:r>
      <w:r>
        <w:rPr>
          <w:rFonts w:ascii="Times New Roman" w:eastAsia="Times New Roman" w:hAnsi="Times New Roman" w:cs="Times New Roman"/>
          <w:kern w:val="0"/>
          <w:sz w:val="24"/>
          <w:szCs w:val="24"/>
        </w:rPr>
        <w:t>   </w:t>
      </w:r>
      <w:r>
        <w:rPr>
          <w:rFonts w:ascii="Times New Roman" w:hAnsi="Times New Roman"/>
          <w:sz w:val="21"/>
        </w:rPr>
        <w:t>）</w:t>
      </w:r>
    </w:p>
    <w:p w14:paraId="25770408">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①中国梦连接历史、现实和未来，本质是国家富强、民族振兴、人民幸福</w:t>
      </w:r>
    </w:p>
    <w:p w14:paraId="7EA2E665">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②新时代的历史机遇，是中华民族强起来、实现民族伟大复兴的机遇</w:t>
      </w:r>
    </w:p>
    <w:p w14:paraId="5EE95A1E">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③中国梦是中国人民的梦也是世界人民的梦，同世界人民的梦想息息相通</w:t>
      </w:r>
    </w:p>
    <w:p w14:paraId="1EBBC488">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④新时代实现中华民族伟大复兴，必须推进中国特色社会主义伟大工程</w:t>
      </w:r>
    </w:p>
    <w:p w14:paraId="1CA971A4">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B．①③</w:t>
      </w:r>
      <w:r>
        <w:rPr>
          <w:rFonts w:ascii="Times New Roman" w:hAnsi="Times New Roman"/>
          <w:sz w:val="21"/>
        </w:rPr>
        <w:tab/>
      </w:r>
      <w:r>
        <w:rPr>
          <w:rFonts w:ascii="Times New Roman" w:hAnsi="Times New Roman"/>
          <w:sz w:val="21"/>
        </w:rPr>
        <w:t>C．②④</w:t>
      </w:r>
      <w:r>
        <w:rPr>
          <w:rFonts w:ascii="Times New Roman" w:hAnsi="Times New Roman"/>
          <w:sz w:val="21"/>
        </w:rPr>
        <w:tab/>
      </w:r>
      <w:r>
        <w:rPr>
          <w:rFonts w:ascii="Times New Roman" w:hAnsi="Times New Roman"/>
          <w:sz w:val="21"/>
        </w:rPr>
        <w:t>D．③④</w:t>
      </w:r>
    </w:p>
    <w:p w14:paraId="13C303F8">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hanging="315"/>
        <w:jc w:val="left"/>
        <w:textAlignment w:val="center"/>
        <w:rPr>
          <w:rFonts w:ascii="Times New Roman" w:hAnsi="Times New Roman"/>
          <w:sz w:val="21"/>
        </w:rPr>
      </w:pPr>
      <w:r>
        <w:rPr>
          <w:rFonts w:ascii="Times New Roman" w:hAnsi="Times New Roman"/>
          <w:sz w:val="21"/>
        </w:rPr>
        <w:t>4．“在一切社会形式中都有一种一定的生产决定其他一切生产的地位和影响，因而它的关系也决定其他一切关系的地位和影响。这是一种普照的光，它掩盖了一切其他色彩，改变着它们的特点。这是一种特殊的以太，它决定着它里面显露出来的一切存在的比重。”这一论述认为（</w:t>
      </w:r>
      <w:r>
        <w:rPr>
          <w:rFonts w:ascii="Times New Roman" w:eastAsia="Times New Roman" w:hAnsi="Times New Roman" w:cs="Times New Roman"/>
          <w:kern w:val="0"/>
          <w:sz w:val="24"/>
          <w:szCs w:val="24"/>
        </w:rPr>
        <w:t>   </w:t>
      </w:r>
      <w:r>
        <w:rPr>
          <w:rFonts w:ascii="Times New Roman" w:hAnsi="Times New Roman"/>
          <w:sz w:val="21"/>
        </w:rPr>
        <w:t>）</w:t>
      </w:r>
    </w:p>
    <w:p w14:paraId="3A0AA84E">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A．“普照的光”从根本上决定和改变一切社会存在的性质</w:t>
      </w:r>
    </w:p>
    <w:p w14:paraId="5CED0BCC">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B．社会生产的不同形式在人类社会发展不同阶段作用不同</w:t>
      </w:r>
    </w:p>
    <w:p w14:paraId="0C117CBC">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C．“普照的光”抑制了资本生产关系的对抗性和异化形式</w:t>
      </w:r>
    </w:p>
    <w:p w14:paraId="0DDC5153">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D．公有资本作为生产关系“普照的光”引导非公资本发展</w:t>
      </w:r>
    </w:p>
    <w:p w14:paraId="6CF49B75">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hanging="315"/>
        <w:jc w:val="left"/>
        <w:textAlignment w:val="center"/>
        <w:rPr>
          <w:rFonts w:ascii="Times New Roman" w:hAnsi="Times New Roman"/>
          <w:sz w:val="21"/>
        </w:rPr>
      </w:pPr>
      <w:r>
        <w:rPr>
          <w:rFonts w:ascii="Times New Roman" w:hAnsi="Times New Roman"/>
          <w:sz w:val="21"/>
        </w:rPr>
        <w:t>5．“西方率先享受到现代化成果，但并不意味着西方的发展模式、价值观念、制度体系和治理体系是实现现代化的唯一标准和样式。西方现代化道路并没有结束人类对现代化的探索，西方的现代性文明并不构成历史的终结。因现实国情、文化传统、历史命运不同，通向现代化的道路不可避免地表现出多样性。”由此可知（</w:t>
      </w:r>
      <w:r>
        <w:rPr>
          <w:rFonts w:ascii="Times New Roman" w:eastAsia="Times New Roman" w:hAnsi="Times New Roman" w:cs="Times New Roman"/>
          <w:kern w:val="0"/>
          <w:sz w:val="24"/>
          <w:szCs w:val="24"/>
        </w:rPr>
        <w:t>    </w:t>
      </w:r>
      <w:r>
        <w:rPr>
          <w:rFonts w:ascii="Times New Roman" w:hAnsi="Times New Roman"/>
          <w:sz w:val="21"/>
        </w:rPr>
        <w:t>）</w:t>
      </w:r>
    </w:p>
    <w:p w14:paraId="3B0C8395">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①有些国家不必遵循从低级到高级的发展历程</w:t>
      </w:r>
      <w:r>
        <w:rPr>
          <w:rFonts w:ascii="Times New Roman" w:eastAsia="Times New Roman" w:hAnsi="Times New Roman" w:cs="Times New Roman"/>
          <w:kern w:val="0"/>
          <w:sz w:val="24"/>
          <w:szCs w:val="24"/>
        </w:rPr>
        <w:t>      </w:t>
      </w:r>
      <w:r>
        <w:rPr>
          <w:rFonts w:ascii="Times New Roman" w:hAnsi="Times New Roman"/>
          <w:sz w:val="21"/>
        </w:rPr>
        <w:t>②西方现代化模式对中国式现代化具有借鉴意义</w:t>
      </w:r>
    </w:p>
    <w:p w14:paraId="3E3FCD7A">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③中国式现代化打破了西方现代化模式的神话</w:t>
      </w:r>
      <w:r>
        <w:rPr>
          <w:rFonts w:ascii="Times New Roman" w:eastAsia="Times New Roman" w:hAnsi="Times New Roman" w:cs="Times New Roman"/>
          <w:kern w:val="0"/>
          <w:sz w:val="24"/>
          <w:szCs w:val="24"/>
        </w:rPr>
        <w:t>      </w:t>
      </w:r>
      <w:r>
        <w:rPr>
          <w:rFonts w:ascii="Times New Roman" w:hAnsi="Times New Roman"/>
          <w:sz w:val="21"/>
        </w:rPr>
        <w:t>④我国要坚定不移走符合本国国情的发展道路</w:t>
      </w:r>
    </w:p>
    <w:p w14:paraId="77227AE0">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B．①③</w:t>
      </w:r>
      <w:r>
        <w:rPr>
          <w:rFonts w:ascii="Times New Roman" w:hAnsi="Times New Roman"/>
          <w:sz w:val="21"/>
        </w:rPr>
        <w:tab/>
      </w:r>
      <w:r>
        <w:rPr>
          <w:rFonts w:ascii="Times New Roman" w:hAnsi="Times New Roman"/>
          <w:sz w:val="21"/>
        </w:rPr>
        <w:t>C．②④</w:t>
      </w:r>
      <w:r>
        <w:rPr>
          <w:rFonts w:ascii="Times New Roman" w:hAnsi="Times New Roman"/>
          <w:sz w:val="21"/>
        </w:rPr>
        <w:tab/>
      </w:r>
      <w:r>
        <w:rPr>
          <w:rFonts w:ascii="Times New Roman" w:hAnsi="Times New Roman"/>
          <w:sz w:val="21"/>
        </w:rPr>
        <w:t>D．③④</w:t>
      </w:r>
    </w:p>
    <w:p w14:paraId="4E3CDDDF">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hanging="315"/>
        <w:jc w:val="left"/>
        <w:textAlignment w:val="center"/>
        <w:rPr>
          <w:rFonts w:ascii="Times New Roman" w:hAnsi="Times New Roman"/>
          <w:sz w:val="21"/>
        </w:rPr>
      </w:pPr>
      <w:r>
        <w:rPr>
          <w:rFonts w:ascii="Times New Roman" w:hAnsi="Times New Roman"/>
          <w:sz w:val="21"/>
        </w:rPr>
        <w:t>6．2025年1月，农业农村部相关负责人表示，当前我国“菜篮子”产品物丰价稳供应充足。在生产供给方面，要及时预判灾害性天气对农业生产的影响，保证市场正常供应。以下属于蔬菜稳产保供措施的有（</w:t>
      </w:r>
      <w:r>
        <w:rPr>
          <w:rFonts w:ascii="Times New Roman" w:eastAsia="Times New Roman" w:hAnsi="Times New Roman" w:cs="Times New Roman"/>
          <w:kern w:val="0"/>
          <w:sz w:val="24"/>
          <w:szCs w:val="24"/>
        </w:rPr>
        <w:t>   </w:t>
      </w:r>
      <w:r>
        <w:rPr>
          <w:rFonts w:ascii="Times New Roman" w:hAnsi="Times New Roman"/>
          <w:sz w:val="21"/>
        </w:rPr>
        <w:t>）</w:t>
      </w:r>
    </w:p>
    <w:p w14:paraId="30DC1833">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①加强蔬菜需求侧改革，由单一需求侧管理向供需两侧双向拓展</w:t>
      </w:r>
    </w:p>
    <w:p w14:paraId="61EEA15A">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②搭建蔬菜信息、产品、基地等对接平台，加强产销对接服务</w:t>
      </w:r>
    </w:p>
    <w:p w14:paraId="0A75D254">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③加快推进蔬菜全国统一大市场建设，满足消费者多元需求</w:t>
      </w:r>
    </w:p>
    <w:p w14:paraId="47F06454">
      <w:pPr>
        <w:keepNext w:val="0"/>
        <w:keepLines w:val="0"/>
        <w:pageBreakBefore w:val="0"/>
        <w:widowControl w:val="0"/>
        <w:shd w:val="clear" w:color="auto" w:fill="auto"/>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④充分发挥产地仓储冷藏保鲜设施作用，加快耐储蔬菜冬储进度</w:t>
      </w:r>
    </w:p>
    <w:p w14:paraId="29EFF749">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before="0" w:after="0" w:line="363" w:lineRule="auto"/>
        <w:ind w:left="317" w:firstLine="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B．①③</w:t>
      </w:r>
      <w:r>
        <w:rPr>
          <w:rFonts w:ascii="Times New Roman" w:hAnsi="Times New Roman"/>
          <w:sz w:val="21"/>
        </w:rPr>
        <w:tab/>
      </w:r>
      <w:r>
        <w:rPr>
          <w:rFonts w:ascii="Times New Roman" w:hAnsi="Times New Roman"/>
          <w:sz w:val="21"/>
        </w:rPr>
        <w:t>C．②④</w:t>
      </w:r>
      <w:r>
        <w:rPr>
          <w:rFonts w:ascii="Times New Roman" w:hAnsi="Times New Roman"/>
          <w:sz w:val="21"/>
        </w:rPr>
        <w:tab/>
      </w:r>
      <w:r>
        <w:rPr>
          <w:rFonts w:ascii="Times New Roman" w:hAnsi="Times New Roman"/>
          <w:sz w:val="21"/>
        </w:rPr>
        <w:t>D．③④</w:t>
      </w:r>
    </w:p>
    <w:p w14:paraId="063DA3D9">
      <w:pPr>
        <w:shd w:val="clear" w:color="auto" w:fill="auto"/>
        <w:spacing w:before="0" w:after="0" w:line="360" w:lineRule="auto"/>
        <w:ind w:left="315" w:hanging="315"/>
        <w:jc w:val="left"/>
        <w:textAlignment w:val="center"/>
        <w:rPr>
          <w:rFonts w:ascii="Times New Roman" w:hAnsi="Times New Roman"/>
          <w:sz w:val="21"/>
        </w:rPr>
      </w:pPr>
      <w:r>
        <w:rPr>
          <w:rFonts w:ascii="Times New Roman" w:hAnsi="Times New Roman"/>
          <w:sz w:val="21"/>
        </w:rPr>
        <w:t>7．</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rFonts w:ascii="Times New Roman" w:hAnsi="Times New Roman"/>
          <w:sz w:val="21"/>
        </w:rPr>
        <w:t>2025年，我国持续加大对小微企业的扶持力度。《民营经济促进法》进入二审，解决拖欠账款问题，降低民企维权成本。这是因为小微企业（</w:t>
      </w:r>
      <w:r>
        <w:rPr>
          <w:rFonts w:ascii="Times New Roman" w:eastAsia="Times New Roman" w:hAnsi="Times New Roman" w:cs="Times New Roman"/>
          <w:kern w:val="0"/>
          <w:sz w:val="24"/>
          <w:szCs w:val="24"/>
        </w:rPr>
        <w:t>   </w:t>
      </w:r>
      <w:r>
        <w:rPr>
          <w:rFonts w:ascii="Times New Roman" w:hAnsi="Times New Roman"/>
          <w:sz w:val="21"/>
        </w:rPr>
        <w:t>）</w:t>
      </w:r>
    </w:p>
    <w:p w14:paraId="450A4CDC">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①是社会主义市场经济的重要组成部分</w:t>
      </w:r>
    </w:p>
    <w:p w14:paraId="7DC0855D">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②在稳定经济增长、促进创新、增加就业等方面发挥着重要作用</w:t>
      </w:r>
    </w:p>
    <w:p w14:paraId="39DFE721">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③是我国经济制度的基础</w:t>
      </w:r>
    </w:p>
    <w:p w14:paraId="26A024FF">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④控制着国民经济命脉，对经济发展起主导作用</w:t>
      </w:r>
    </w:p>
    <w:p w14:paraId="35D5FBE9">
      <w:pPr>
        <w:shd w:val="clear" w:color="auto" w:fill="auto"/>
        <w:tabs>
          <w:tab w:val="left" w:pos="2078"/>
          <w:tab w:val="left" w:pos="4156"/>
          <w:tab w:val="left" w:pos="6234"/>
        </w:tabs>
        <w:spacing w:before="0" w:after="0" w:line="360" w:lineRule="auto"/>
        <w:ind w:left="315" w:firstLine="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D．③④</w:t>
      </w:r>
    </w:p>
    <w:p w14:paraId="0E9D709C">
      <w:pPr>
        <w:shd w:val="clear" w:color="auto" w:fill="auto"/>
        <w:spacing w:before="0" w:after="0" w:line="360" w:lineRule="auto"/>
        <w:ind w:left="315" w:hanging="315"/>
        <w:jc w:val="left"/>
        <w:textAlignment w:val="center"/>
        <w:rPr>
          <w:rFonts w:ascii="Times New Roman" w:hAnsi="Times New Roman"/>
          <w:sz w:val="21"/>
        </w:rPr>
      </w:pPr>
      <w:r>
        <w:rPr>
          <w:rFonts w:ascii="Times New Roman" w:hAnsi="Times New Roman"/>
          <w:sz w:val="21"/>
        </w:rPr>
        <w:t>8．党的二十届三中全会审议通过了《中共中央关于进一步全面深化改革、推进中国式现代化的决定》（以下简称《决定》）。《决定》对巩固和完善农村基本经营制度作出了具体部署，强调有序推进第二轮土地承包到期后再延长三十年试点，深化承包地所有权、承包权、经营权“三权分置”改革，发展农业适度规模经营。此举将对我国农村经济社会发展产生重大影响，关于其传导路径，正确的是（</w:t>
      </w:r>
      <w:r>
        <w:rPr>
          <w:rFonts w:ascii="Times New Roman" w:eastAsia="Times New Roman" w:hAnsi="Times New Roman" w:cs="Times New Roman"/>
          <w:kern w:val="0"/>
          <w:sz w:val="24"/>
          <w:szCs w:val="24"/>
        </w:rPr>
        <w:t>   </w:t>
      </w:r>
      <w:r>
        <w:rPr>
          <w:rFonts w:ascii="Times New Roman" w:hAnsi="Times New Roman"/>
          <w:sz w:val="21"/>
        </w:rPr>
        <w:t>）</w:t>
      </w:r>
    </w:p>
    <w:p w14:paraId="5E6D0B88">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①引导土地经营权有序流转→释放土地要素红利→激活乡村振兴动能</w:t>
      </w:r>
    </w:p>
    <w:p w14:paraId="7ECFDB03">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②稳定土地承包关系→化解农村土地承包中的人地矛盾→实现城乡融合发展</w:t>
      </w:r>
    </w:p>
    <w:p w14:paraId="1068DEE5">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③依法自愿有偿流转土地经营权→健全农业社会化服务体系→增加农民财产性收入</w:t>
      </w:r>
    </w:p>
    <w:p w14:paraId="087CF65C">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④坚持有效市场和有为政府结合→盘活农村土地资源→发展壮大集体经济</w:t>
      </w:r>
    </w:p>
    <w:p w14:paraId="0AFFD105">
      <w:pPr>
        <w:shd w:val="clear" w:color="auto" w:fill="auto"/>
        <w:tabs>
          <w:tab w:val="left" w:pos="2078"/>
          <w:tab w:val="left" w:pos="4156"/>
          <w:tab w:val="left" w:pos="6234"/>
        </w:tabs>
        <w:spacing w:before="0" w:after="0" w:line="360" w:lineRule="auto"/>
        <w:ind w:left="315" w:firstLine="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D．③④</w:t>
      </w:r>
    </w:p>
    <w:p w14:paraId="38082259">
      <w:pPr>
        <w:shd w:val="clear" w:color="auto" w:fill="auto"/>
        <w:spacing w:before="0" w:after="0" w:line="360" w:lineRule="auto"/>
        <w:ind w:left="315" w:hanging="315"/>
        <w:jc w:val="left"/>
        <w:textAlignment w:val="center"/>
        <w:rPr>
          <w:rFonts w:ascii="Times New Roman" w:hAnsi="Times New Roman"/>
          <w:sz w:val="21"/>
        </w:rPr>
      </w:pPr>
      <w:r>
        <w:rPr>
          <w:rFonts w:ascii="Times New Roman" w:hAnsi="Times New Roman"/>
          <w:sz w:val="21"/>
        </w:rPr>
        <w:t>9．20世纪上半叶，在中国的出路、前途和命运问题上，各种政治力量分别提出自己的方案，进行了异常激烈的较量。最终，中国共产党的方案在历史和人民的检验中脱颖而出，最终成为唯一正确的选择。</w:t>
      </w:r>
    </w:p>
    <w:p w14:paraId="362B868A">
      <w:pPr>
        <w:shd w:val="clear" w:color="auto" w:fill="auto"/>
        <w:spacing w:before="0" w:after="0" w:line="360" w:lineRule="auto"/>
        <w:ind w:left="315" w:firstLine="0"/>
        <w:jc w:val="center"/>
        <w:textAlignment w:val="center"/>
        <w:rPr>
          <w:rFonts w:ascii="Times New Roman" w:hAnsi="Times New Roman"/>
          <w:sz w:val="21"/>
        </w:rPr>
      </w:pPr>
      <w:r>
        <w:rPr>
          <w:rFonts w:ascii="Times New Roman" w:eastAsia="Times New Roman" w:hAnsi="Times New Roman" w:cs="Times New Roman"/>
          <w:strike w:val="0"/>
          <w:kern w:val="0"/>
          <w:sz w:val="24"/>
          <w:szCs w:val="24"/>
          <w:u w:val="none"/>
        </w:rPr>
        <w:drawing>
          <wp:inline distT="0" distB="0" distL="114300" distR="114300">
            <wp:extent cx="5158105" cy="1866900"/>
            <wp:effectExtent l="0" t="0" r="4445" b="0"/>
            <wp:docPr id="100005" name="图片 100005"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
                    <pic:cNvPicPr>
                      <a:picLocks noChangeAspect="1"/>
                    </pic:cNvPicPr>
                  </pic:nvPicPr>
                  <pic:blipFill>
                    <a:blip xmlns:r="http://schemas.openxmlformats.org/officeDocument/2006/relationships" r:embed="rId7"/>
                    <a:stretch>
                      <a:fillRect/>
                    </a:stretch>
                  </pic:blipFill>
                  <pic:spPr>
                    <a:xfrm>
                      <a:off x="0" y="0"/>
                      <a:ext cx="5158105" cy="1866900"/>
                    </a:xfrm>
                    <a:prstGeom prst="rect">
                      <a:avLst/>
                    </a:prstGeom>
                  </pic:spPr>
                </pic:pic>
              </a:graphicData>
            </a:graphic>
          </wp:inline>
        </w:drawing>
      </w:r>
    </w:p>
    <w:p w14:paraId="094A857A">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其中的原因是（</w:t>
      </w:r>
      <w:r>
        <w:rPr>
          <w:rFonts w:ascii="Times New Roman" w:eastAsia="Times New Roman" w:hAnsi="Times New Roman" w:cs="Times New Roman"/>
          <w:kern w:val="0"/>
          <w:sz w:val="24"/>
          <w:szCs w:val="24"/>
        </w:rPr>
        <w:t>   </w:t>
      </w:r>
      <w:r>
        <w:rPr>
          <w:rFonts w:ascii="Times New Roman" w:hAnsi="Times New Roman"/>
          <w:sz w:val="21"/>
        </w:rPr>
        <w:t>）</w:t>
      </w:r>
    </w:p>
    <w:p w14:paraId="55DBC124">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①中国共产党代表最广大人民群众的根本利益</w:t>
      </w:r>
    </w:p>
    <w:p w14:paraId="1EC90104">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②社会主义革命是新民主主义革命的必然趋势</w:t>
      </w:r>
    </w:p>
    <w:p w14:paraId="2AB05248">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③中国共产党执政是历史的必然和人民的选择</w:t>
      </w:r>
    </w:p>
    <w:p w14:paraId="4843BAF7">
      <w:pPr>
        <w:shd w:val="clear" w:color="auto" w:fill="auto"/>
        <w:spacing w:before="0" w:after="0" w:line="360" w:lineRule="auto"/>
        <w:ind w:left="315" w:firstLine="0"/>
        <w:jc w:val="left"/>
        <w:textAlignment w:val="center"/>
        <w:rPr>
          <w:rFonts w:ascii="Times New Roman" w:hAnsi="Times New Roman"/>
          <w:sz w:val="21"/>
        </w:rPr>
      </w:pPr>
      <w:r>
        <w:rPr>
          <w:rFonts w:ascii="Times New Roman" w:hAnsi="Times New Roman"/>
          <w:sz w:val="21"/>
        </w:rPr>
        <w:t>④中国共产党的方案符合中国实际，反映中国人民意愿</w:t>
      </w:r>
    </w:p>
    <w:p w14:paraId="1BAC24F6">
      <w:pPr>
        <w:shd w:val="clear" w:color="auto" w:fill="auto"/>
        <w:tabs>
          <w:tab w:val="left" w:pos="2078"/>
          <w:tab w:val="left" w:pos="4156"/>
          <w:tab w:val="left" w:pos="6234"/>
        </w:tabs>
        <w:spacing w:before="0" w:after="0" w:line="360" w:lineRule="auto"/>
        <w:ind w:left="315" w:firstLine="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712715B1">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10．2025年1月20日，中共中央政治局常委、国务院总理李强主持召开专家、企业家和教科文卫体等领域代表座谈会，听取对《政府工作报告（征求意见稿）》的意见建议。李强希望大家积极反映社情民意，提出更多政策建议，为推进中国式现代化贡献智慧和力量。这表明（</w:t>
      </w:r>
      <w:r>
        <w:rPr>
          <w:rFonts w:ascii="Times New Roman" w:eastAsia="Times New Roman" w:hAnsi="Times New Roman" w:cs="Times New Roman"/>
          <w:kern w:val="0"/>
          <w:sz w:val="24"/>
          <w:szCs w:val="24"/>
        </w:rPr>
        <w:t>   </w:t>
      </w:r>
      <w:r>
        <w:rPr>
          <w:rFonts w:ascii="Times New Roman" w:hAnsi="Times New Roman"/>
          <w:sz w:val="21"/>
        </w:rPr>
        <w:t>）</w:t>
      </w:r>
    </w:p>
    <w:p w14:paraId="1FC57F52">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①协商民主是全过程人民民主的生动实践</w:t>
      </w:r>
    </w:p>
    <w:p w14:paraId="297930BA">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②协商民主有利于不断推进中国式现代化</w:t>
      </w:r>
    </w:p>
    <w:p w14:paraId="12EC0E75">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③人民当家作主是社会主义民主政治的本质属性</w:t>
      </w:r>
    </w:p>
    <w:p w14:paraId="47D03BD1">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④协商民主是中国特色社会主义制度的最大优势</w:t>
      </w:r>
    </w:p>
    <w:p w14:paraId="3F032B15">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B．①③</w:t>
      </w:r>
      <w:r>
        <w:rPr>
          <w:rFonts w:ascii="Times New Roman" w:hAnsi="Times New Roman"/>
          <w:sz w:val="21"/>
        </w:rPr>
        <w:tab/>
      </w:r>
      <w:r>
        <w:rPr>
          <w:rFonts w:ascii="Times New Roman" w:hAnsi="Times New Roman"/>
          <w:sz w:val="21"/>
        </w:rPr>
        <w:t>C．②④</w:t>
      </w:r>
      <w:r>
        <w:rPr>
          <w:rFonts w:ascii="Times New Roman" w:hAnsi="Times New Roman"/>
          <w:sz w:val="21"/>
        </w:rPr>
        <w:tab/>
      </w:r>
      <w:r>
        <w:rPr>
          <w:rFonts w:ascii="Times New Roman" w:hAnsi="Times New Roman"/>
          <w:sz w:val="21"/>
        </w:rPr>
        <w:t>D．③④</w:t>
      </w:r>
    </w:p>
    <w:p w14:paraId="53F30D0A">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11．最高人民检察院启动“检察实务专家进校园”活动一年多以来，在北京大学、清华大学、中国政法大学、华东政法大学等21所高校开讲检察实务课程220次，覆盖学生2.2万余人次。在一堂堂充满鲜活案例的课堂中，学生们感受司法实践温度，读懂法治中国。最高检这一创新举措将会（</w:t>
      </w:r>
      <w:r>
        <w:rPr>
          <w:rFonts w:ascii="Times New Roman" w:eastAsia="Times New Roman" w:hAnsi="Times New Roman" w:cs="Times New Roman"/>
          <w:kern w:val="0"/>
          <w:sz w:val="24"/>
          <w:szCs w:val="24"/>
        </w:rPr>
        <w:t>   </w:t>
      </w:r>
      <w:r>
        <w:rPr>
          <w:rFonts w:ascii="Times New Roman" w:hAnsi="Times New Roman"/>
          <w:sz w:val="21"/>
        </w:rPr>
        <w:t>）</w:t>
      </w:r>
    </w:p>
    <w:p w14:paraId="1807C2B3">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①不断完善法律实施机制，以公正司法助推法治国家建设</w:t>
      </w:r>
    </w:p>
    <w:p w14:paraId="74E8AAAD">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②促进检校合作，有效打通法学理论与司法实务间的壁垒</w:t>
      </w:r>
    </w:p>
    <w:p w14:paraId="24384A68">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③通过最前沿法治实践和鲜活法治案例增强全民法治观念</w:t>
      </w:r>
    </w:p>
    <w:p w14:paraId="6941C455">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④助推法学理论研究、法治人才培养与检察业务发展共赢</w:t>
      </w:r>
    </w:p>
    <w:p w14:paraId="55EB30FC">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1BB5E774">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12．2025年2月，广西全面启动交通运输行政执法案件“码上监督”工作。行政执法案件“码上监督”工作实施范围包括通过广西交通运输综合执法系统作出的所有行政处罚决定文书。按照标准化的数据格式，每一份行政处罚决定文书会生成专属二维码。案件当事人可扫描该二维码查看并提出意见建议。“码上监督”旨在（</w:t>
      </w:r>
      <w:r>
        <w:rPr>
          <w:rFonts w:ascii="Times New Roman" w:eastAsia="Times New Roman" w:hAnsi="Times New Roman" w:cs="Times New Roman"/>
          <w:kern w:val="0"/>
          <w:sz w:val="24"/>
          <w:szCs w:val="24"/>
        </w:rPr>
        <w:t>   </w:t>
      </w:r>
      <w:r>
        <w:rPr>
          <w:rFonts w:ascii="Times New Roman" w:hAnsi="Times New Roman"/>
          <w:sz w:val="21"/>
        </w:rPr>
        <w:t>）</w:t>
      </w:r>
    </w:p>
    <w:p w14:paraId="700DD9F2">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①让权力在阳光下运行，加快打造法治政府</w:t>
      </w:r>
    </w:p>
    <w:p w14:paraId="522A427F">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②科学配置政府职能，营造法治化营商环境</w:t>
      </w:r>
    </w:p>
    <w:p w14:paraId="799E8EE0">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③规范执法行为，推进行政机关严格公正执法</w:t>
      </w:r>
    </w:p>
    <w:p w14:paraId="42ED6AF6">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④完善行政执法程序，增强行政执法的权威</w:t>
      </w:r>
    </w:p>
    <w:p w14:paraId="249F2577">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0FF434D5">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13．作为继互联网后新一代“通用目的技术”，人工智能的影响可能遍及整个经济社会，创造出众多新兴业态。但许多业内专家认为，目前的人工智能从机理上还不存在向通用人工智能转化的可能性，人工智能大规模商业化应用仍将是一个长期而曲折的过程。这一认识体现的辩证法道理有（</w:t>
      </w:r>
      <w:r>
        <w:rPr>
          <w:rFonts w:ascii="Times New Roman" w:eastAsia="Times New Roman" w:hAnsi="Times New Roman" w:cs="Times New Roman"/>
          <w:kern w:val="0"/>
          <w:sz w:val="24"/>
          <w:szCs w:val="24"/>
        </w:rPr>
        <w:t>   </w:t>
      </w:r>
      <w:r>
        <w:rPr>
          <w:rFonts w:ascii="Times New Roman" w:hAnsi="Times New Roman"/>
          <w:sz w:val="21"/>
        </w:rPr>
        <w:t>）</w:t>
      </w:r>
    </w:p>
    <w:p w14:paraId="275AAA17">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①联系构成了事物的运动变化和发展</w:t>
      </w:r>
    </w:p>
    <w:p w14:paraId="4B0D0371">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②我们要充分认识和利用规律，造福人类</w:t>
      </w:r>
    </w:p>
    <w:p w14:paraId="4DAE560F">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③事物的发展是前进性和曲折性的统一</w:t>
      </w:r>
    </w:p>
    <w:p w14:paraId="16786E89">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④办事情既要抓关键，又要统筹兼顾</w:t>
      </w:r>
    </w:p>
    <w:p w14:paraId="1FDBE769">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4C07C101">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14．下图漫画《有时候要走到谷底，才有向上走的机会》给我们的哲学启示是(</w:t>
      </w:r>
      <w:r>
        <w:rPr>
          <w:rFonts w:ascii="Times New Roman" w:eastAsia="Times New Roman" w:hAnsi="Times New Roman" w:cs="Times New Roman"/>
          <w:kern w:val="0"/>
          <w:sz w:val="24"/>
          <w:szCs w:val="24"/>
        </w:rPr>
        <w:t>   </w:t>
      </w:r>
      <w:r>
        <w:rPr>
          <w:rFonts w:ascii="Times New Roman" w:hAnsi="Times New Roman"/>
          <w:sz w:val="21"/>
        </w:rPr>
        <w:t>)</w:t>
      </w:r>
    </w:p>
    <w:p w14:paraId="696BDD95">
      <w:pPr>
        <w:shd w:val="clear" w:color="auto" w:fill="auto"/>
        <w:spacing w:before="0" w:after="0" w:line="360" w:lineRule="auto"/>
        <w:ind w:left="420" w:firstLine="0"/>
        <w:jc w:val="center"/>
        <w:textAlignment w:val="center"/>
        <w:rPr>
          <w:rFonts w:ascii="Times New Roman" w:hAnsi="Times New Roman"/>
          <w:sz w:val="21"/>
        </w:rPr>
      </w:pPr>
      <w:r>
        <w:rPr>
          <w:rFonts w:ascii="Times New Roman" w:eastAsia="Times New Roman" w:hAnsi="Times New Roman" w:cs="Times New Roman"/>
          <w:strike w:val="0"/>
          <w:kern w:val="0"/>
          <w:sz w:val="24"/>
          <w:szCs w:val="24"/>
          <w:u w:val="none"/>
        </w:rPr>
        <w:drawing>
          <wp:inline distT="0" distB="0" distL="114300" distR="114300">
            <wp:extent cx="1724025" cy="2133600"/>
            <wp:effectExtent l="0" t="0" r="9525" b="0"/>
            <wp:docPr id="100007" name="图片 100007"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
                    <pic:cNvPicPr>
                      <a:picLocks noChangeAspect="1"/>
                    </pic:cNvPicPr>
                  </pic:nvPicPr>
                  <pic:blipFill>
                    <a:blip xmlns:r="http://schemas.openxmlformats.org/officeDocument/2006/relationships" r:embed="rId8"/>
                    <a:stretch>
                      <a:fillRect/>
                    </a:stretch>
                  </pic:blipFill>
                  <pic:spPr>
                    <a:xfrm>
                      <a:off x="0" y="0"/>
                      <a:ext cx="1724025" cy="2133600"/>
                    </a:xfrm>
                    <a:prstGeom prst="rect">
                      <a:avLst/>
                    </a:prstGeom>
                  </pic:spPr>
                </pic:pic>
              </a:graphicData>
            </a:graphic>
          </wp:inline>
        </w:drawing>
      </w:r>
    </w:p>
    <w:p w14:paraId="170B35E0">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①认识是主观与客观具体的历史的统一</w:t>
      </w:r>
      <w:r>
        <w:rPr>
          <w:rFonts w:ascii="Times New Roman" w:eastAsia="Times New Roman" w:hAnsi="Times New Roman" w:cs="Times New Roman"/>
          <w:kern w:val="0"/>
          <w:sz w:val="24"/>
          <w:szCs w:val="24"/>
        </w:rPr>
        <w:t>       </w:t>
      </w:r>
    </w:p>
    <w:p w14:paraId="1A4EBF46">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②矛盾双方在一定条件下相互转化</w:t>
      </w:r>
    </w:p>
    <w:p w14:paraId="4D1EAB5F">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③事物发展是前进性与曲折性的统一</w:t>
      </w:r>
      <w:r>
        <w:rPr>
          <w:rFonts w:ascii="Times New Roman" w:eastAsia="Times New Roman" w:hAnsi="Times New Roman" w:cs="Times New Roman"/>
          <w:kern w:val="0"/>
          <w:sz w:val="24"/>
          <w:szCs w:val="24"/>
        </w:rPr>
        <w:t>         </w:t>
      </w:r>
    </w:p>
    <w:p w14:paraId="4D3D76C2">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④成功取决于正确发挥主观能动性</w:t>
      </w:r>
    </w:p>
    <w:p w14:paraId="71A4744B">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D．③④</w:t>
      </w:r>
    </w:p>
    <w:p w14:paraId="60D25B7F">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15．</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rFonts w:ascii="Times New Roman" w:hAnsi="Times New Roman"/>
          <w:sz w:val="21"/>
        </w:rPr>
        <w:t>《哪吒2》作为一部融合中国神话内核与现代价值观的动画电影，自2025年春节档上映以来，不仅在国内市场刷新票房纪录，更在海外市场引发广泛共鸣。《哪吒2》成为现象级电影表明（</w:t>
      </w:r>
      <w:r>
        <w:rPr>
          <w:rFonts w:ascii="Times New Roman" w:eastAsia="Times New Roman" w:hAnsi="Times New Roman" w:cs="Times New Roman"/>
          <w:kern w:val="0"/>
          <w:sz w:val="24"/>
          <w:szCs w:val="24"/>
        </w:rPr>
        <w:t>    </w:t>
      </w:r>
      <w:r>
        <w:rPr>
          <w:rFonts w:ascii="Times New Roman" w:hAnsi="Times New Roman"/>
          <w:sz w:val="21"/>
        </w:rPr>
        <w:t>）</w:t>
      </w:r>
    </w:p>
    <w:p w14:paraId="6C0B46A9">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①利用科技创新传统文化的表达是增强文化生命力的关键</w:t>
      </w:r>
    </w:p>
    <w:p w14:paraId="7470FF25">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②文化产品的国际传播能有效提升国家文化软实力</w:t>
      </w:r>
    </w:p>
    <w:p w14:paraId="5E1364DF">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③传统文化的当代价值需通过创造性转化来实现</w:t>
      </w:r>
    </w:p>
    <w:p w14:paraId="4AF8A768">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④中外文化交流互鉴要坚持以我为主，为我所用</w:t>
      </w:r>
    </w:p>
    <w:p w14:paraId="0DD94FF4">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D．③④</w:t>
      </w:r>
    </w:p>
    <w:p w14:paraId="541899EB">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16．文化赋能是指通过挖掘、激活文化资源，将其转化为推动社会、经济发展的核心动力，它既非保守的博物馆式封存，也非粗暴的商业化改造。下图是某地两类文化旅游项目对比：</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930"/>
        <w:gridCol w:w="1403"/>
        <w:gridCol w:w="1403"/>
        <w:gridCol w:w="1930"/>
        <w:gridCol w:w="1659"/>
      </w:tblGrid>
      <w:tr w14:paraId="099ECCF7">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1C4C9BE">
            <w:pPr>
              <w:shd w:val="clear" w:color="auto" w:fill="auto"/>
              <w:spacing w:before="0" w:after="0" w:line="288" w:lineRule="auto"/>
              <w:ind w:left="0" w:right="0" w:firstLine="0"/>
              <w:jc w:val="center"/>
              <w:textAlignment w:val="center"/>
              <w:rPr>
                <w:rFonts w:ascii="Times New Roman" w:hAnsi="Times New Roman"/>
                <w:sz w:val="21"/>
              </w:rPr>
            </w:pPr>
            <w:r>
              <w:rPr>
                <w:rFonts w:ascii="Times New Roman" w:hAnsi="Times New Roman"/>
                <w:sz w:val="21"/>
              </w:rPr>
              <w:t>项目</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C6F0281">
            <w:pPr>
              <w:shd w:val="clear" w:color="auto" w:fill="auto"/>
              <w:spacing w:before="0" w:after="0" w:line="288" w:lineRule="auto"/>
              <w:ind w:left="0" w:right="0" w:firstLine="0"/>
              <w:jc w:val="center"/>
              <w:textAlignment w:val="center"/>
              <w:rPr>
                <w:rFonts w:ascii="Times New Roman" w:hAnsi="Times New Roman"/>
                <w:sz w:val="21"/>
              </w:rPr>
            </w:pPr>
            <w:r>
              <w:rPr>
                <w:rFonts w:ascii="Times New Roman" w:hAnsi="Times New Roman"/>
                <w:sz w:val="21"/>
              </w:rPr>
              <w:t>游客增长率</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842B120">
            <w:pPr>
              <w:shd w:val="clear" w:color="auto" w:fill="auto"/>
              <w:spacing w:before="0" w:after="0" w:line="288" w:lineRule="auto"/>
              <w:ind w:left="0" w:right="0" w:firstLine="0"/>
              <w:jc w:val="center"/>
              <w:textAlignment w:val="center"/>
              <w:rPr>
                <w:rFonts w:ascii="Times New Roman" w:hAnsi="Times New Roman"/>
                <w:sz w:val="21"/>
              </w:rPr>
            </w:pPr>
            <w:r>
              <w:rPr>
                <w:rFonts w:ascii="Times New Roman" w:hAnsi="Times New Roman"/>
                <w:sz w:val="21"/>
              </w:rPr>
              <w:t>在地就业率</w:t>
            </w:r>
          </w:p>
        </w:tc>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A40F10F">
            <w:pPr>
              <w:shd w:val="clear" w:color="auto" w:fill="auto"/>
              <w:spacing w:before="0" w:after="0" w:line="288" w:lineRule="auto"/>
              <w:ind w:left="0" w:right="0" w:firstLine="0"/>
              <w:jc w:val="center"/>
              <w:textAlignment w:val="center"/>
              <w:rPr>
                <w:rFonts w:ascii="Times New Roman" w:hAnsi="Times New Roman"/>
                <w:sz w:val="21"/>
              </w:rPr>
            </w:pPr>
            <w:r>
              <w:rPr>
                <w:rFonts w:ascii="Times New Roman" w:hAnsi="Times New Roman"/>
                <w:sz w:val="21"/>
              </w:rPr>
              <w:t>游客二次消费率</w:t>
            </w:r>
          </w:p>
        </w:tc>
        <w:tc>
          <w:tcPr>
            <w:tcW w:w="16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514D02E">
            <w:pPr>
              <w:shd w:val="clear" w:color="auto" w:fill="auto"/>
              <w:spacing w:before="0" w:after="0" w:line="288" w:lineRule="auto"/>
              <w:ind w:left="0" w:right="0" w:firstLine="0"/>
              <w:jc w:val="center"/>
              <w:textAlignment w:val="center"/>
              <w:rPr>
                <w:rFonts w:ascii="Times New Roman" w:hAnsi="Times New Roman"/>
                <w:sz w:val="21"/>
              </w:rPr>
            </w:pPr>
            <w:r>
              <w:rPr>
                <w:rFonts w:ascii="Times New Roman" w:hAnsi="Times New Roman"/>
                <w:sz w:val="21"/>
              </w:rPr>
              <w:t>文化保护指数</w:t>
            </w:r>
          </w:p>
        </w:tc>
      </w:tr>
      <w:tr w14:paraId="6B64A042">
        <w:tblPrEx>
          <w:tblW w:w="8325" w:type="dxa"/>
          <w:jc w:val="center"/>
          <w:tblCellMar>
            <w:top w:w="120" w:type="dxa"/>
            <w:left w:w="120" w:type="dxa"/>
            <w:bottom w:w="120" w:type="dxa"/>
            <w:right w:w="120" w:type="dxa"/>
          </w:tblCellMar>
        </w:tblPrEx>
        <w:trPr>
          <w:jc w:val="center"/>
        </w:trPr>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BC618A4">
            <w:pPr>
              <w:shd w:val="clear" w:color="auto" w:fill="auto"/>
              <w:spacing w:before="0" w:after="0" w:line="288" w:lineRule="auto"/>
              <w:ind w:left="0" w:right="0" w:firstLine="0"/>
              <w:jc w:val="center"/>
              <w:textAlignment w:val="center"/>
              <w:rPr>
                <w:rFonts w:ascii="Times New Roman" w:hAnsi="Times New Roman"/>
                <w:sz w:val="21"/>
              </w:rPr>
            </w:pPr>
            <w:r>
              <w:rPr>
                <w:rFonts w:ascii="Times New Roman" w:hAnsi="Times New Roman"/>
                <w:sz w:val="21"/>
              </w:rPr>
              <w:t>非遗活态传承村</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045298E">
            <w:pPr>
              <w:shd w:val="clear" w:color="auto" w:fill="auto"/>
              <w:spacing w:before="0" w:after="0" w:line="288" w:lineRule="auto"/>
              <w:ind w:left="0" w:right="0" w:firstLine="0"/>
              <w:jc w:val="left"/>
              <w:textAlignment w:val="center"/>
              <w:rPr>
                <w:rFonts w:ascii="Times New Roman" w:hAnsi="Times New Roman"/>
                <w:sz w:val="21"/>
              </w:rPr>
            </w:pPr>
            <w:r>
              <w:rPr>
                <w:rFonts w:ascii="Times New Roman" w:hAnsi="Times New Roman"/>
                <w:sz w:val="21"/>
              </w:rPr>
              <w:t>18%</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AE74041">
            <w:pPr>
              <w:shd w:val="clear" w:color="auto" w:fill="auto"/>
              <w:spacing w:before="0" w:after="0" w:line="288" w:lineRule="auto"/>
              <w:ind w:left="0" w:right="0" w:firstLine="0"/>
              <w:jc w:val="left"/>
              <w:textAlignment w:val="center"/>
              <w:rPr>
                <w:rFonts w:ascii="Times New Roman" w:hAnsi="Times New Roman"/>
                <w:sz w:val="21"/>
              </w:rPr>
            </w:pPr>
            <w:r>
              <w:rPr>
                <w:rFonts w:ascii="Times New Roman" w:hAnsi="Times New Roman"/>
                <w:sz w:val="21"/>
              </w:rPr>
              <w:t>75%</w:t>
            </w:r>
          </w:p>
        </w:tc>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B5A1EB1">
            <w:pPr>
              <w:shd w:val="clear" w:color="auto" w:fill="auto"/>
              <w:spacing w:before="0" w:after="0" w:line="288" w:lineRule="auto"/>
              <w:ind w:left="0" w:right="0" w:firstLine="0"/>
              <w:jc w:val="left"/>
              <w:textAlignment w:val="center"/>
              <w:rPr>
                <w:rFonts w:ascii="Times New Roman" w:hAnsi="Times New Roman"/>
                <w:sz w:val="21"/>
              </w:rPr>
            </w:pPr>
            <w:r>
              <w:rPr>
                <w:rFonts w:ascii="Times New Roman" w:hAnsi="Times New Roman"/>
                <w:sz w:val="21"/>
              </w:rPr>
              <w:t>15%</w:t>
            </w:r>
          </w:p>
        </w:tc>
        <w:tc>
          <w:tcPr>
            <w:tcW w:w="16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09E8291">
            <w:pPr>
              <w:shd w:val="clear" w:color="auto" w:fill="auto"/>
              <w:spacing w:before="0" w:after="0" w:line="288" w:lineRule="auto"/>
              <w:ind w:left="0" w:right="0" w:firstLine="0"/>
              <w:jc w:val="left"/>
              <w:textAlignment w:val="center"/>
              <w:rPr>
                <w:rFonts w:ascii="Times New Roman" w:hAnsi="Times New Roman"/>
                <w:sz w:val="21"/>
              </w:rPr>
            </w:pPr>
            <w:r>
              <w:rPr>
                <w:rFonts w:ascii="Times New Roman" w:hAnsi="Times New Roman"/>
                <w:sz w:val="21"/>
              </w:rPr>
              <w:t>88/100</w:t>
            </w:r>
          </w:p>
        </w:tc>
      </w:tr>
      <w:tr w14:paraId="69BD134D">
        <w:tblPrEx>
          <w:tblW w:w="8325" w:type="dxa"/>
          <w:jc w:val="center"/>
          <w:tblCellMar>
            <w:top w:w="120" w:type="dxa"/>
            <w:left w:w="120" w:type="dxa"/>
            <w:bottom w:w="120" w:type="dxa"/>
            <w:right w:w="120" w:type="dxa"/>
          </w:tblCellMar>
        </w:tblPrEx>
        <w:trPr>
          <w:jc w:val="center"/>
        </w:trPr>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41F7D9C">
            <w:pPr>
              <w:shd w:val="clear" w:color="auto" w:fill="auto"/>
              <w:spacing w:before="0" w:after="0" w:line="288" w:lineRule="auto"/>
              <w:ind w:left="0" w:right="0" w:firstLine="0"/>
              <w:jc w:val="center"/>
              <w:textAlignment w:val="center"/>
              <w:rPr>
                <w:rFonts w:ascii="Times New Roman" w:hAnsi="Times New Roman"/>
                <w:sz w:val="21"/>
              </w:rPr>
            </w:pPr>
            <w:r>
              <w:rPr>
                <w:rFonts w:ascii="Times New Roman" w:hAnsi="Times New Roman"/>
                <w:sz w:val="21"/>
              </w:rPr>
              <w:t>影视仿古小镇</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2A0B071">
            <w:pPr>
              <w:shd w:val="clear" w:color="auto" w:fill="auto"/>
              <w:spacing w:before="0" w:after="0" w:line="288" w:lineRule="auto"/>
              <w:ind w:left="0" w:right="0" w:firstLine="0"/>
              <w:jc w:val="left"/>
              <w:textAlignment w:val="center"/>
              <w:rPr>
                <w:rFonts w:ascii="Times New Roman" w:hAnsi="Times New Roman"/>
                <w:sz w:val="21"/>
              </w:rPr>
            </w:pPr>
            <w:r>
              <w:rPr>
                <w:rFonts w:ascii="Times New Roman" w:hAnsi="Times New Roman"/>
                <w:sz w:val="21"/>
              </w:rPr>
              <w:t>23%</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57BA47E">
            <w:pPr>
              <w:shd w:val="clear" w:color="auto" w:fill="auto"/>
              <w:spacing w:before="0" w:after="0" w:line="288" w:lineRule="auto"/>
              <w:ind w:left="0" w:right="0" w:firstLine="0"/>
              <w:jc w:val="left"/>
              <w:textAlignment w:val="center"/>
              <w:rPr>
                <w:rFonts w:ascii="Times New Roman" w:hAnsi="Times New Roman"/>
                <w:sz w:val="21"/>
              </w:rPr>
            </w:pPr>
            <w:r>
              <w:rPr>
                <w:rFonts w:ascii="Times New Roman" w:hAnsi="Times New Roman"/>
                <w:sz w:val="21"/>
              </w:rPr>
              <w:t>32%</w:t>
            </w:r>
          </w:p>
        </w:tc>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5F3770A">
            <w:pPr>
              <w:shd w:val="clear" w:color="auto" w:fill="auto"/>
              <w:spacing w:before="0" w:after="0" w:line="288" w:lineRule="auto"/>
              <w:ind w:left="0" w:right="0" w:firstLine="0"/>
              <w:jc w:val="left"/>
              <w:textAlignment w:val="center"/>
              <w:rPr>
                <w:rFonts w:ascii="Times New Roman" w:hAnsi="Times New Roman"/>
                <w:sz w:val="21"/>
              </w:rPr>
            </w:pPr>
            <w:r>
              <w:rPr>
                <w:rFonts w:ascii="Times New Roman" w:hAnsi="Times New Roman"/>
                <w:sz w:val="21"/>
              </w:rPr>
              <w:t>38%</w:t>
            </w:r>
          </w:p>
        </w:tc>
        <w:tc>
          <w:tcPr>
            <w:tcW w:w="16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0B1C67D">
            <w:pPr>
              <w:shd w:val="clear" w:color="auto" w:fill="auto"/>
              <w:spacing w:before="0" w:after="0" w:line="288" w:lineRule="auto"/>
              <w:ind w:left="0" w:right="0" w:firstLine="0"/>
              <w:jc w:val="left"/>
              <w:textAlignment w:val="center"/>
              <w:rPr>
                <w:rFonts w:ascii="Times New Roman" w:hAnsi="Times New Roman"/>
                <w:sz w:val="21"/>
              </w:rPr>
            </w:pPr>
            <w:r>
              <w:rPr>
                <w:rFonts w:ascii="Times New Roman" w:hAnsi="Times New Roman"/>
                <w:sz w:val="21"/>
              </w:rPr>
              <w:t>47/100</w:t>
            </w:r>
          </w:p>
        </w:tc>
      </w:tr>
    </w:tbl>
    <w:p w14:paraId="1B246724">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通过对上表的数据分析，可能推理得出的结论是（</w:t>
      </w:r>
      <w:r>
        <w:rPr>
          <w:rFonts w:ascii="Times New Roman" w:eastAsia="Times New Roman" w:hAnsi="Times New Roman" w:cs="Times New Roman"/>
          <w:kern w:val="0"/>
          <w:sz w:val="24"/>
          <w:szCs w:val="24"/>
        </w:rPr>
        <w:t>   </w:t>
      </w:r>
      <w:r>
        <w:rPr>
          <w:rFonts w:ascii="Times New Roman" w:hAnsi="Times New Roman"/>
          <w:sz w:val="21"/>
        </w:rPr>
        <w:t>）</w:t>
      </w:r>
    </w:p>
    <w:p w14:paraId="55070ED1">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A．游客量增长必然导致文化保护水平下降</w:t>
      </w:r>
    </w:p>
    <w:p w14:paraId="7FD2020F">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B．经济收益与公众参与度呈负相关关系</w:t>
      </w:r>
    </w:p>
    <w:p w14:paraId="729653E2">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C．短期流量优势可能掩盖文化根基侵蚀</w:t>
      </w:r>
    </w:p>
    <w:p w14:paraId="10E93FB2">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D．二次消费率高低与文化体验深度无关</w:t>
      </w:r>
    </w:p>
    <w:p w14:paraId="17A5651A">
      <w:pPr>
        <w:numPr>
          <w:ilvl w:val="0"/>
          <w:numId w:val="0"/>
        </w:numPr>
        <w:spacing w:before="0" w:after="0" w:line="360" w:lineRule="auto"/>
        <w:ind w:left="0" w:firstLine="0"/>
        <w:jc w:val="left"/>
        <w:textAlignment w:val="center"/>
        <w:rPr>
          <w:rFonts w:ascii="Times New Roman" w:hAnsi="Times New Roman"/>
          <w:color w:val="000000"/>
        </w:rPr>
      </w:pPr>
      <w:r>
        <w:rPr>
          <w:rFonts w:ascii="宋体" w:eastAsia="宋体" w:hAnsi="宋体" w:cs="宋体"/>
          <w:b/>
          <w:color w:val="000000"/>
          <w:sz w:val="24"/>
        </w:rPr>
        <w:t>二、选择题Ⅱ(本大题共7小题,每小题3分，共21分，每小题列出的四个备选项中只有一个是符合题目要求的，不选、多选、错选均不得分)。</w:t>
      </w:r>
    </w:p>
    <w:p w14:paraId="07430441">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17．近期，美国总统宣称“要重新掌控巴拿马运河”。2025年3月4日，香港长和公司与美国贝莱德财团达成原则性协议，拟转让长和的43个港口业务，其中巴拿马运河两端港口涉及全球6%的海运贸易、中国商船货运量的21%。对此，中国政府强调“反对经济胁迫”。该事件说明（</w:t>
      </w:r>
      <w:r>
        <w:rPr>
          <w:rFonts w:ascii="Times New Roman" w:eastAsia="Times New Roman" w:hAnsi="Times New Roman" w:cs="Times New Roman"/>
          <w:kern w:val="0"/>
          <w:sz w:val="24"/>
          <w:szCs w:val="24"/>
        </w:rPr>
        <w:t>   </w:t>
      </w:r>
      <w:r>
        <w:rPr>
          <w:rFonts w:ascii="Times New Roman" w:hAnsi="Times New Roman"/>
          <w:sz w:val="21"/>
        </w:rPr>
        <w:t>）</w:t>
      </w:r>
    </w:p>
    <w:p w14:paraId="1CFE3960">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①经济全球化是一把双刃剑，政府和企业要携手防范经济风险</w:t>
      </w:r>
    </w:p>
    <w:p w14:paraId="4F2323A6">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②我国采用单一制的国家管理形式，要落实中央的全面管治权</w:t>
      </w:r>
    </w:p>
    <w:p w14:paraId="42FD6AE0">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③跨国交易遵循商业逻辑，应避免跨国资本流动受到地缘政治博弈的制约</w:t>
      </w:r>
    </w:p>
    <w:p w14:paraId="20A67392">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④重要港口业务事关国家战略，要坚持以经济安全为基础的总体国家安全观</w:t>
      </w:r>
    </w:p>
    <w:p w14:paraId="67F6DFDA">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D．③④</w:t>
      </w:r>
    </w:p>
    <w:p w14:paraId="03E03BBE">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18．2025年是联合国成立80周年。80年来，联合国通过安理会维和行动与冲突调解，不断遏制局部战争；通过推动多边主义，在可持续发展、气候变化等领域协调国际共同行动。由此可见联合国（</w:t>
      </w:r>
      <w:r>
        <w:rPr>
          <w:rFonts w:ascii="Times New Roman" w:eastAsia="Times New Roman" w:hAnsi="Times New Roman" w:cs="Times New Roman"/>
          <w:kern w:val="0"/>
          <w:sz w:val="24"/>
          <w:szCs w:val="24"/>
        </w:rPr>
        <w:t>   </w:t>
      </w:r>
      <w:r>
        <w:rPr>
          <w:rFonts w:ascii="Times New Roman" w:hAnsi="Times New Roman"/>
          <w:sz w:val="21"/>
        </w:rPr>
        <w:t>）</w:t>
      </w:r>
    </w:p>
    <w:p w14:paraId="6D8D2B29">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①其主要审议机构安理会，在保障全球安全中发挥着不可代替的作用</w:t>
      </w:r>
    </w:p>
    <w:p w14:paraId="00D9D0BC">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②作为最具普遍性的国际组织，在维护国际秩序方面发挥了重要作用</w:t>
      </w:r>
    </w:p>
    <w:p w14:paraId="2135A30B">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③通过其庞大、复杂的发展系统全面主导全球治理体系和能力的变革</w:t>
      </w:r>
    </w:p>
    <w:p w14:paraId="547A4B5E">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④作为集体应对各种威胁挑战的合作平台，其作用只能加强不能削弱</w:t>
      </w:r>
    </w:p>
    <w:p w14:paraId="46B89B32">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B．①③</w:t>
      </w:r>
      <w:r>
        <w:rPr>
          <w:rFonts w:ascii="Times New Roman" w:hAnsi="Times New Roman"/>
          <w:sz w:val="21"/>
        </w:rPr>
        <w:tab/>
      </w:r>
      <w:r>
        <w:rPr>
          <w:rFonts w:ascii="Times New Roman" w:hAnsi="Times New Roman"/>
          <w:sz w:val="21"/>
        </w:rPr>
        <w:t>C．②④</w:t>
      </w:r>
      <w:r>
        <w:rPr>
          <w:rFonts w:ascii="Times New Roman" w:hAnsi="Times New Roman"/>
          <w:sz w:val="21"/>
        </w:rPr>
        <w:tab/>
      </w:r>
      <w:r>
        <w:rPr>
          <w:rFonts w:ascii="Times New Roman" w:hAnsi="Times New Roman"/>
          <w:sz w:val="21"/>
        </w:rPr>
        <w:t>D．③④</w:t>
      </w:r>
    </w:p>
    <w:p w14:paraId="7C1A8A56">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19．截至2025年1月，上海合作组织成员国增加至10个，有2个观察员国，14个对话伙伴，成员国人口占全球近一半，陆地面积、经济总量约占世界1/4,彰显了“上海精神”的巨大感召力。中国推动上海合作组织积极加强在本币结算、创业创新、人工智能等领域的务实合作，为各成员国经济社会繁荣发展提供有效助力。这说明（</w:t>
      </w:r>
      <w:r>
        <w:rPr>
          <w:rFonts w:ascii="Times New Roman" w:eastAsia="Times New Roman" w:hAnsi="Times New Roman" w:cs="Times New Roman"/>
          <w:kern w:val="0"/>
          <w:sz w:val="24"/>
          <w:szCs w:val="24"/>
        </w:rPr>
        <w:t>    </w:t>
      </w:r>
      <w:r>
        <w:rPr>
          <w:rFonts w:ascii="Times New Roman" w:hAnsi="Times New Roman"/>
          <w:sz w:val="21"/>
        </w:rPr>
        <w:t>）</w:t>
      </w:r>
    </w:p>
    <w:p w14:paraId="161B0845">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A．上海合作组织是集体应对各种威胁挑战的有效平台</w:t>
      </w:r>
    </w:p>
    <w:p w14:paraId="21945243">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B．“上海精神”旨在尊重多样文明、谋求共同发展</w:t>
      </w:r>
    </w:p>
    <w:p w14:paraId="1B2DE165">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C．上海合作组织作为区域合作的典范影响力与日俱增</w:t>
      </w:r>
    </w:p>
    <w:p w14:paraId="47177DEB">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D．中国积极解决“和平赤字”推动构建人类命运共同体</w:t>
      </w:r>
    </w:p>
    <w:p w14:paraId="422D830E">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20．老年人杨某无子女，在配偶去世后，由配偶之侄卢某照顾，二人经过公证签订意定监护协议。后杨某突发重疾，意识出现障碍。医院诊断杨某多器官衰竭；卢某提交视频光盘显示杨某无法独立进行意思表示；鉴定机构鉴定杨某系重度失能人员；当地居委会出具意见确认杨某意识不清，同意卢某担任其监护人。卢某遂向法院申请担任杨某监护人。本案中（</w:t>
      </w:r>
      <w:r>
        <w:rPr>
          <w:rFonts w:ascii="Times New Roman" w:eastAsia="Times New Roman" w:hAnsi="Times New Roman" w:cs="Times New Roman"/>
          <w:kern w:val="0"/>
          <w:sz w:val="24"/>
          <w:szCs w:val="24"/>
        </w:rPr>
        <w:t>   </w:t>
      </w:r>
      <w:r>
        <w:rPr>
          <w:rFonts w:ascii="Times New Roman" w:hAnsi="Times New Roman"/>
          <w:sz w:val="21"/>
        </w:rPr>
        <w:t>）</w:t>
      </w:r>
    </w:p>
    <w:p w14:paraId="5F899CD5">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①若卢某尽到监护职责，则可在杨某去世后获赠其个人遗产</w:t>
      </w:r>
    </w:p>
    <w:p w14:paraId="51FFA348">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②意定监护协议为双方当事人的真实意思表示，属合法有效</w:t>
      </w:r>
    </w:p>
    <w:p w14:paraId="7C6EA06A">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③杨某和卢某可在居委会出具意见后继续协商调整协议内容</w:t>
      </w:r>
    </w:p>
    <w:p w14:paraId="22EC771F">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④法院将支持卢某申请，卢某将管理杨某财产并安排其养老</w:t>
      </w:r>
    </w:p>
    <w:p w14:paraId="7E0A1316">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698BF890">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21．张某婚后于2024年使用王某1973年发表的一幅画作为某产品设计外现造型，经申请获得了外观设计专利，随后他因该设计在本市2024年设计大赛中荣获二等奖，奖金3万元。赛后，张某深感年事已高，膝下又无子女，便与邻居赵某签订了遗赠扶养协议。下列说法正确的是（</w:t>
      </w:r>
      <w:r>
        <w:rPr>
          <w:rFonts w:ascii="Times New Roman" w:eastAsia="Times New Roman" w:hAnsi="Times New Roman" w:cs="Times New Roman"/>
          <w:kern w:val="0"/>
          <w:sz w:val="24"/>
          <w:szCs w:val="24"/>
        </w:rPr>
        <w:t>   </w:t>
      </w:r>
      <w:r>
        <w:rPr>
          <w:rFonts w:ascii="Times New Roman" w:hAnsi="Times New Roman"/>
          <w:sz w:val="21"/>
        </w:rPr>
        <w:t>）。</w:t>
      </w:r>
    </w:p>
    <w:p w14:paraId="65863016">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①张某的配偶对这3万元奖金享有共有权，其配偶是张某的法定继承人</w:t>
      </w:r>
    </w:p>
    <w:p w14:paraId="1002F907">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②张某的专利设计图纸著作权的保护期为50年、专利权保护期为15年</w:t>
      </w:r>
    </w:p>
    <w:p w14:paraId="27E7DE68">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③若王某因著作权受侵犯起诉张某，关于侵权事实的举证责任在王某</w:t>
      </w:r>
    </w:p>
    <w:p w14:paraId="5DA72181">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④邻居赵某若履行对张某的赡养义务，则将来可依法继承张某的遗产</w:t>
      </w:r>
    </w:p>
    <w:p w14:paraId="13CFFAF2">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6B58A72C">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22．春节前后，中国AI公司深度求索的大模型DeepSeek-R1火爆全网。远低于行业平均成本的研发投入，低能耗运算、多语言适配等关键技术的突破，DeepSeek展现出的“高性价比创新”不仅有利于推进中国式现代化，也将推动人工智能技术在全球的普遍应用。对此，下列分析正确的是（  ）</w:t>
      </w:r>
    </w:p>
    <w:p w14:paraId="7837EDE8">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①Deepseek-R1与人工智能技术的具体技术产品构成属种关系</w:t>
      </w:r>
    </w:p>
    <w:p w14:paraId="20036F2E">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②中国人工智能技术的发展是中国式现代化的必要条件</w:t>
      </w:r>
    </w:p>
    <w:p w14:paraId="3C7B5292">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③DeepSeek的成功离不开对已有人工智能技术的全盘否定</w:t>
      </w:r>
    </w:p>
    <w:p w14:paraId="1F4C0129">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④立足整体，多语言适配帮助全球在人工智能中平等受益</w:t>
      </w:r>
    </w:p>
    <w:p w14:paraId="47AEA2C5">
      <w:pPr>
        <w:shd w:val="clear" w:color="auto" w:fill="auto"/>
        <w:tabs>
          <w:tab w:val="left" w:pos="2078"/>
          <w:tab w:val="left" w:pos="4156"/>
          <w:tab w:val="left" w:pos="6234"/>
        </w:tabs>
        <w:spacing w:before="0" w:after="0" w:line="360" w:lineRule="auto"/>
        <w:ind w:left="420" w:firstLine="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2A859577">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23．在公共场所，安全通道标识通常采用绿色背景和白色图案。某同学对此产生了疑问：“为什么安全通道标识是绿色的，而不是其他颜色？”为此，他查阅了如下相关资料。</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160"/>
        <w:gridCol w:w="6165"/>
      </w:tblGrid>
      <w:tr w14:paraId="4C483006">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2040" w:type="dxa"/>
            <w:vMerge w:val="restart"/>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EE5ABFB">
            <w:pPr>
              <w:shd w:val="clear" w:color="auto" w:fill="auto"/>
              <w:spacing w:before="0" w:after="0" w:line="288" w:lineRule="auto"/>
              <w:ind w:left="0" w:right="0" w:firstLine="0"/>
              <w:jc w:val="both"/>
              <w:textAlignment w:val="center"/>
              <w:rPr>
                <w:rFonts w:ascii="Times New Roman" w:hAnsi="Times New Roman"/>
                <w:sz w:val="21"/>
              </w:rPr>
            </w:pPr>
            <w:r>
              <w:rPr>
                <w:rFonts w:ascii="Times New Roman" w:eastAsia="Times New Roman" w:hAnsi="Times New Roman" w:cs="Times New Roman"/>
                <w:strike w:val="0"/>
                <w:kern w:val="0"/>
                <w:sz w:val="24"/>
                <w:szCs w:val="24"/>
                <w:u w:val="none"/>
              </w:rPr>
              <w:drawing>
                <wp:inline distT="0" distB="0" distL="114300" distR="114300">
                  <wp:extent cx="1209675" cy="981075"/>
                  <wp:effectExtent l="0" t="0" r="9525" b="9525"/>
                  <wp:docPr id="100009" name="图片 100009"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
                          <pic:cNvPicPr>
                            <a:picLocks noChangeAspect="1"/>
                          </pic:cNvPicPr>
                        </pic:nvPicPr>
                        <pic:blipFill>
                          <a:blip xmlns:r="http://schemas.openxmlformats.org/officeDocument/2006/relationships" r:embed="rId9"/>
                          <a:stretch>
                            <a:fillRect/>
                          </a:stretch>
                        </pic:blipFill>
                        <pic:spPr>
                          <a:xfrm>
                            <a:off x="0" y="0"/>
                            <a:ext cx="1209675" cy="981075"/>
                          </a:xfrm>
                          <a:prstGeom prst="rect">
                            <a:avLst/>
                          </a:prstGeom>
                        </pic:spPr>
                      </pic:pic>
                    </a:graphicData>
                  </a:graphic>
                </wp:inline>
              </w:drawing>
            </w:r>
          </w:p>
        </w:tc>
        <w:tc>
          <w:tcPr>
            <w:tcW w:w="62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0882095">
            <w:pPr>
              <w:shd w:val="clear" w:color="auto" w:fill="auto"/>
              <w:spacing w:before="0" w:after="0" w:line="288" w:lineRule="auto"/>
              <w:ind w:left="0" w:right="0" w:firstLine="0"/>
              <w:jc w:val="both"/>
              <w:textAlignment w:val="center"/>
              <w:rPr>
                <w:rFonts w:ascii="Times New Roman" w:hAnsi="Times New Roman"/>
                <w:sz w:val="21"/>
              </w:rPr>
            </w:pPr>
            <w:r>
              <w:rPr>
                <w:rFonts w:ascii="Times New Roman" w:hAnsi="Times New Roman"/>
                <w:sz w:val="21"/>
              </w:rPr>
              <w:t>光线适应性：绿色在白天和夜晚的光线下都能保持较好的可见性，尤其是在烟雾或昏暗环境中，绿色标志的辨识度较高。</w:t>
            </w:r>
          </w:p>
        </w:tc>
      </w:tr>
      <w:tr w14:paraId="3E856199">
        <w:tblPrEx>
          <w:tblW w:w="8325" w:type="dxa"/>
          <w:jc w:val="center"/>
          <w:tblCellMar>
            <w:top w:w="120" w:type="dxa"/>
            <w:left w:w="120" w:type="dxa"/>
            <w:bottom w:w="120" w:type="dxa"/>
            <w:right w:w="120" w:type="dxa"/>
          </w:tblCellMar>
        </w:tblPrEx>
        <w:trPr>
          <w:jc w:val="center"/>
        </w:trPr>
        <w:tc>
          <w:tcPr>
            <w:vMerge/>
            <w:tcBorders>
              <w:top w:val="single" w:sz="6" w:space="0" w:color="000000"/>
              <w:left w:val="single" w:sz="6" w:space="0" w:color="000000"/>
              <w:bottom w:val="single" w:sz="6" w:space="0" w:color="000000"/>
              <w:right w:val="single" w:sz="6" w:space="0" w:color="000000"/>
            </w:tcBorders>
          </w:tcPr>
          <w:p w14:paraId="33A0A4E7">
            <w:pPr>
              <w:shd w:val="clear" w:color="auto" w:fill="auto"/>
              <w:spacing w:line="360" w:lineRule="auto"/>
              <w:jc w:val="both"/>
              <w:textAlignment w:val="center"/>
              <w:rPr>
                <w:rFonts w:ascii="Times New Roman" w:hAnsi="Times New Roman"/>
                <w:sz w:val="21"/>
              </w:rPr>
            </w:pPr>
          </w:p>
        </w:tc>
        <w:tc>
          <w:tcPr>
            <w:tcW w:w="73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4A6043A8">
            <w:pPr>
              <w:shd w:val="clear" w:color="auto" w:fill="auto"/>
              <w:spacing w:before="0" w:after="0" w:line="288" w:lineRule="auto"/>
              <w:ind w:left="0" w:right="0" w:firstLine="0"/>
              <w:jc w:val="both"/>
              <w:textAlignment w:val="center"/>
              <w:rPr>
                <w:rFonts w:ascii="Times New Roman" w:hAnsi="Times New Roman"/>
                <w:sz w:val="21"/>
              </w:rPr>
            </w:pPr>
            <w:r>
              <w:rPr>
                <w:rFonts w:ascii="Times New Roman" w:hAnsi="Times New Roman"/>
                <w:sz w:val="21"/>
              </w:rPr>
              <w:t>心理效应：绿色象征着希望和生命，能够增强人们对逃生路线的信心。</w:t>
            </w:r>
          </w:p>
        </w:tc>
      </w:tr>
      <w:tr w14:paraId="1F631594">
        <w:tblPrEx>
          <w:tblW w:w="8325" w:type="dxa"/>
          <w:jc w:val="center"/>
          <w:tblCellMar>
            <w:top w:w="120" w:type="dxa"/>
            <w:left w:w="120" w:type="dxa"/>
            <w:bottom w:w="120" w:type="dxa"/>
            <w:right w:w="120" w:type="dxa"/>
          </w:tblCellMar>
        </w:tblPrEx>
        <w:trPr>
          <w:jc w:val="center"/>
        </w:trPr>
        <w:tc>
          <w:tcPr>
            <w:vMerge/>
            <w:tcBorders>
              <w:top w:val="single" w:sz="6" w:space="0" w:color="000000"/>
              <w:left w:val="single" w:sz="6" w:space="0" w:color="000000"/>
              <w:bottom w:val="single" w:sz="6" w:space="0" w:color="000000"/>
              <w:right w:val="single" w:sz="6" w:space="0" w:color="000000"/>
            </w:tcBorders>
          </w:tcPr>
          <w:p w14:paraId="101BBF8B">
            <w:pPr>
              <w:shd w:val="clear" w:color="auto" w:fill="auto"/>
              <w:spacing w:line="360" w:lineRule="auto"/>
              <w:jc w:val="both"/>
              <w:textAlignment w:val="center"/>
              <w:rPr>
                <w:rFonts w:ascii="Times New Roman" w:hAnsi="Times New Roman"/>
                <w:sz w:val="21"/>
              </w:rPr>
            </w:pPr>
          </w:p>
        </w:tc>
        <w:tc>
          <w:tcPr>
            <w:tcW w:w="73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FB69BF1">
            <w:pPr>
              <w:shd w:val="clear" w:color="auto" w:fill="auto"/>
              <w:spacing w:before="0" w:after="0" w:line="288" w:lineRule="auto"/>
              <w:ind w:left="0" w:right="0" w:firstLine="0"/>
              <w:jc w:val="both"/>
              <w:textAlignment w:val="center"/>
              <w:rPr>
                <w:rFonts w:ascii="Times New Roman" w:hAnsi="Times New Roman"/>
                <w:sz w:val="21"/>
              </w:rPr>
            </w:pPr>
            <w:r>
              <w:rPr>
                <w:rFonts w:ascii="Times New Roman" w:hAnsi="Times New Roman"/>
                <w:sz w:val="21"/>
              </w:rPr>
              <w:t>反光性能：安全出口标志采用高反射率材料，绿色与反光材料的结合能够在夜间或光线不足的情况下提供良好的可视性。</w:t>
            </w:r>
          </w:p>
        </w:tc>
      </w:tr>
    </w:tbl>
    <w:p w14:paraId="2C99201D">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安全通道标识是绿色，主要是（</w:t>
      </w:r>
      <w:r>
        <w:rPr>
          <w:rFonts w:ascii="Times New Roman" w:eastAsia="Times New Roman" w:hAnsi="Times New Roman" w:cs="Times New Roman"/>
          <w:kern w:val="0"/>
          <w:sz w:val="24"/>
          <w:szCs w:val="24"/>
        </w:rPr>
        <w:t>    </w:t>
      </w:r>
      <w:r>
        <w:rPr>
          <w:rFonts w:ascii="Times New Roman" w:hAnsi="Times New Roman"/>
          <w:sz w:val="21"/>
        </w:rPr>
        <w:t>）</w:t>
      </w:r>
    </w:p>
    <w:p w14:paraId="6C7E30A0">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A．由绿色象征意义展开联想，决定了安全通道标识的颜色</w:t>
      </w:r>
    </w:p>
    <w:p w14:paraId="3CB9E01F">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B．运用信息交叉法，将三个要素进行组合，绿色最为合理</w:t>
      </w:r>
    </w:p>
    <w:p w14:paraId="57C2EAE1">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C．运用求同法，发现光线适应性与颜色选择之间有因果关系</w:t>
      </w:r>
    </w:p>
    <w:p w14:paraId="684FD55D">
      <w:pPr>
        <w:widowControl/>
        <w:spacing w:before="0" w:after="0" w:line="360" w:lineRule="auto"/>
        <w:ind w:left="420" w:firstLine="0"/>
        <w:jc w:val="both"/>
        <w:textAlignment w:val="center"/>
        <w:rPr>
          <w:rFonts w:ascii="Times New Roman" w:hAnsi="Times New Roman"/>
          <w:sz w:val="21"/>
        </w:rPr>
      </w:pPr>
      <w:r>
        <w:rPr>
          <w:rFonts w:ascii="Times New Roman" w:hAnsi="Times New Roman"/>
          <w:sz w:val="21"/>
        </w:rPr>
        <w:t>D．分析绿色和反光材料的特性，通过类比推理确定标识颜色</w:t>
      </w:r>
    </w:p>
    <w:p w14:paraId="21D5ABB9">
      <w:pPr>
        <w:widowControl/>
        <w:spacing w:before="0" w:after="0" w:line="360" w:lineRule="auto"/>
        <w:ind w:left="420" w:firstLine="0"/>
        <w:jc w:val="center"/>
        <w:textAlignment w:val="center"/>
        <w:rPr>
          <w:rFonts w:ascii="Times New Roman" w:hAnsi="Times New Roman"/>
          <w:color w:val="000000"/>
        </w:rPr>
      </w:pPr>
      <w:r>
        <w:rPr>
          <w:rFonts w:ascii="Times New Roman" w:hAnsi="Times New Roman" w:cs="Times New Roman"/>
          <w:sz w:val="28"/>
          <w:szCs w:val="28"/>
        </w:rPr>
        <w:t>第Ⅱ卷</w:t>
      </w:r>
      <w:r>
        <w:rPr>
          <w:rFonts w:ascii="宋体" w:eastAsia="宋体" w:hAnsi="宋体" w:cs="宋体"/>
          <w:b/>
          <w:color w:val="000000"/>
          <w:sz w:val="28"/>
          <w:szCs w:val="28"/>
        </w:rPr>
        <w:t>非选择题部分</w:t>
      </w:r>
    </w:p>
    <w:p w14:paraId="0B371558">
      <w:pPr>
        <w:keepNext w:val="0"/>
        <w:keepLines w:val="0"/>
        <w:pageBreakBefore w:val="0"/>
        <w:widowControl w:val="0"/>
        <w:kinsoku/>
        <w:wordWrap/>
        <w:topLinePunct w:val="0"/>
        <w:autoSpaceDE/>
        <w:autoSpaceDN/>
        <w:bidi w:val="0"/>
        <w:snapToGrid/>
        <w:spacing w:before="0" w:after="0" w:line="360" w:lineRule="auto"/>
        <w:ind w:left="0" w:firstLine="0"/>
        <w:rPr>
          <w:rFonts w:ascii="Times New Roman" w:hAnsi="Times New Roman"/>
          <w:sz w:val="21"/>
        </w:rPr>
      </w:pPr>
      <w:r>
        <w:rPr>
          <w:rFonts w:ascii="Times New Roman" w:eastAsia="黑体" w:hAnsi="Times New Roman" w:cs="Times New Roman" w:hint="eastAsia"/>
          <w:sz w:val="24"/>
          <w:szCs w:val="24"/>
          <w:lang w:val="en-US" w:eastAsia="zh-CN"/>
        </w:rPr>
        <w:t>三</w:t>
      </w:r>
      <w:r>
        <w:rPr>
          <w:rFonts w:ascii="Times New Roman" w:eastAsia="黑体" w:hAnsi="Times New Roman" w:cs="Times New Roman" w:hint="default"/>
          <w:sz w:val="24"/>
          <w:szCs w:val="24"/>
        </w:rPr>
        <w:t>、非选择题：本题共</w:t>
      </w:r>
      <w:r>
        <w:rPr>
          <w:rFonts w:ascii="Times New Roman" w:eastAsia="黑体" w:hAnsi="Times New Roman" w:cs="Times New Roman" w:hint="eastAsia"/>
          <w:sz w:val="24"/>
          <w:szCs w:val="24"/>
          <w:lang w:val="en-US" w:eastAsia="zh-CN"/>
        </w:rPr>
        <w:t>4</w:t>
      </w:r>
      <w:r>
        <w:rPr>
          <w:rFonts w:ascii="Times New Roman" w:eastAsia="黑体" w:hAnsi="Times New Roman" w:cs="Times New Roman" w:hint="default"/>
          <w:sz w:val="24"/>
          <w:szCs w:val="24"/>
        </w:rPr>
        <w:t>小题，共</w:t>
      </w:r>
      <w:r>
        <w:rPr>
          <w:rFonts w:ascii="Times New Roman" w:eastAsia="黑体" w:hAnsi="Times New Roman" w:cs="Times New Roman" w:hint="eastAsia"/>
          <w:sz w:val="24"/>
          <w:szCs w:val="24"/>
          <w:lang w:val="en-US" w:eastAsia="zh-CN"/>
        </w:rPr>
        <w:t>47</w:t>
      </w:r>
      <w:r>
        <w:rPr>
          <w:rFonts w:ascii="Times New Roman" w:eastAsia="黑体" w:hAnsi="Times New Roman" w:cs="Times New Roman" w:hint="default"/>
          <w:sz w:val="24"/>
          <w:szCs w:val="24"/>
        </w:rPr>
        <w:t>分。</w:t>
      </w:r>
    </w:p>
    <w:p w14:paraId="71B0A99F">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24．</w:t>
      </w:r>
      <w:r>
        <w:rPr>
          <w:rFonts w:ascii="宋体" w:eastAsia="宋体" w:hAnsi="宋体" w:cs="宋体" w:hint="eastAsia"/>
          <w:sz w:val="24"/>
          <w:szCs w:val="24"/>
        </w:rPr>
        <w:t>（</w:t>
      </w:r>
      <w:r>
        <w:rPr>
          <w:rFonts w:ascii="宋体" w:hAnsi="宋体" w:cs="宋体" w:hint="eastAsia"/>
          <w:sz w:val="24"/>
          <w:szCs w:val="24"/>
          <w:lang w:val="en-US" w:eastAsia="zh-CN"/>
        </w:rPr>
        <w:t>14</w:t>
      </w:r>
      <w:r>
        <w:rPr>
          <w:rFonts w:ascii="宋体" w:eastAsia="宋体" w:hAnsi="宋体" w:cs="宋体" w:hint="eastAsia"/>
          <w:sz w:val="24"/>
          <w:szCs w:val="24"/>
        </w:rPr>
        <w:t>分）</w:t>
      </w:r>
      <w:r>
        <w:rPr>
          <w:rFonts w:ascii="Times New Roman" w:hAnsi="Times New Roman"/>
          <w:sz w:val="21"/>
        </w:rPr>
        <w:t>阅读材料，完成下列要求。</w:t>
      </w:r>
    </w:p>
    <w:p w14:paraId="115B89F6">
      <w:pPr>
        <w:shd w:val="clear" w:color="auto" w:fill="auto"/>
        <w:spacing w:before="0" w:after="0" w:line="360" w:lineRule="auto"/>
        <w:ind w:left="420" w:firstLine="0"/>
        <w:jc w:val="left"/>
        <w:textAlignment w:val="center"/>
        <w:rPr>
          <w:rFonts w:ascii="Times New Roman" w:hAnsi="Times New Roman"/>
          <w:sz w:val="21"/>
        </w:rPr>
      </w:pPr>
      <w:r>
        <w:rPr>
          <w:rFonts w:ascii="楷体" w:eastAsia="楷体" w:hAnsi="楷体" w:cs="楷体"/>
          <w:sz w:val="21"/>
        </w:rPr>
        <w:t>民族要复兴，乡村必振兴。党的二十届三中全会提出：“坚持农业农村优先发展，完善乡村振兴投入机制。”</w:t>
      </w:r>
    </w:p>
    <w:p w14:paraId="70AE56AF">
      <w:pPr>
        <w:shd w:val="clear" w:color="auto" w:fill="auto"/>
        <w:spacing w:before="0" w:after="0" w:line="360" w:lineRule="auto"/>
        <w:ind w:left="420" w:firstLine="0"/>
        <w:jc w:val="left"/>
        <w:textAlignment w:val="center"/>
        <w:rPr>
          <w:rFonts w:ascii="Times New Roman" w:hAnsi="Times New Roman"/>
          <w:sz w:val="21"/>
        </w:rPr>
      </w:pPr>
      <w:r>
        <w:rPr>
          <w:rFonts w:ascii="楷体" w:eastAsia="楷体" w:hAnsi="楷体" w:cs="楷体"/>
          <w:sz w:val="21"/>
        </w:rPr>
        <w:t>材料一</w:t>
      </w:r>
      <w:r>
        <w:rPr>
          <w:rFonts w:ascii="Times New Roman" w:eastAsia="Times New Roman" w:hAnsi="Times New Roman" w:cs="Times New Roman"/>
          <w:kern w:val="0"/>
          <w:sz w:val="24"/>
          <w:szCs w:val="24"/>
        </w:rPr>
        <w:t>  </w:t>
      </w:r>
      <w:r>
        <w:rPr>
          <w:rFonts w:ascii="楷体" w:eastAsia="楷体" w:hAnsi="楷体" w:cs="楷体"/>
          <w:sz w:val="21"/>
        </w:rPr>
        <w:t>某村以前没有支柱产业，村集体收入几乎为零。如今，该村深度整合资源、资产、资金，建立健全“二五三”三方利益分配机制，走出了一条“村合作社+企业+农户”的集体经济发展路子。该村流转农户土地对外出租，因地制宜发展民俗型、休闲型、科普型等主题体验项目，将农耕文化与研学教育有机融合，带动“亲子文化体验型经济”发展，每逢节假日都吸引城区游客前来参加体验，实现了集体增收10余万元。</w:t>
      </w:r>
    </w:p>
    <w:p w14:paraId="19FFB382">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(1)结合材料，运用《经济与社会》知识，说明该村是如何“破壳”走出一条特色乡村振兴道路的。</w:t>
      </w:r>
      <w:r>
        <w:rPr>
          <w:rFonts w:ascii="宋体" w:eastAsia="宋体" w:hAnsi="宋体" w:cs="宋体" w:hint="eastAsia"/>
          <w:sz w:val="24"/>
          <w:szCs w:val="24"/>
        </w:rPr>
        <w:t>（</w:t>
      </w:r>
      <w:r>
        <w:rPr>
          <w:rFonts w:ascii="宋体" w:hAnsi="宋体" w:cs="宋体" w:hint="eastAsia"/>
          <w:sz w:val="24"/>
          <w:szCs w:val="24"/>
          <w:lang w:val="en-US" w:eastAsia="zh-CN"/>
        </w:rPr>
        <w:t>6</w:t>
      </w:r>
      <w:r>
        <w:rPr>
          <w:rFonts w:ascii="宋体" w:eastAsia="宋体" w:hAnsi="宋体" w:cs="宋体" w:hint="eastAsia"/>
          <w:sz w:val="24"/>
          <w:szCs w:val="24"/>
        </w:rPr>
        <w:t>分）</w:t>
      </w:r>
    </w:p>
    <w:p w14:paraId="52F4C357">
      <w:pPr>
        <w:shd w:val="clear" w:color="auto" w:fill="auto"/>
        <w:spacing w:before="0" w:after="0" w:line="360" w:lineRule="auto"/>
        <w:ind w:left="420" w:firstLine="0"/>
        <w:jc w:val="left"/>
        <w:textAlignment w:val="center"/>
        <w:rPr>
          <w:rFonts w:ascii="Times New Roman" w:hAnsi="Times New Roman"/>
          <w:sz w:val="21"/>
        </w:rPr>
      </w:pPr>
      <w:r>
        <w:rPr>
          <w:rFonts w:ascii="楷体" w:eastAsia="楷体" w:hAnsi="楷体" w:cs="楷体"/>
          <w:sz w:val="21"/>
        </w:rPr>
        <w:t>材料二</w:t>
      </w:r>
      <w:r>
        <w:rPr>
          <w:rFonts w:ascii="Times New Roman" w:eastAsia="Times New Roman" w:hAnsi="Times New Roman" w:cs="Times New Roman"/>
          <w:kern w:val="0"/>
          <w:sz w:val="24"/>
          <w:szCs w:val="24"/>
        </w:rPr>
        <w:t>  </w:t>
      </w:r>
      <w:r>
        <w:rPr>
          <w:rFonts w:ascii="楷体" w:eastAsia="楷体" w:hAnsi="楷体" w:cs="楷体"/>
          <w:sz w:val="21"/>
        </w:rPr>
        <w:t>2024年以来，某镇人大积极探索拓宽基层治理渠道和形式，创新开展“人大+老屋说事”。借助某村充满地域特色的“老屋”文化建立人大代表活动联络站，以发生在群众房前屋后的“琐碎事”、急难愁盼的“烦心事”和涉及群众利益的“民生事”为议事主题，有事大家“说”、民事一起“议”、定事马上“办”、办事全程“督”、好坏大家“评”。该村以网格为基础，在原有网格员的基础上，又实行了“老屋”人大代表一对一结对机制，不断延伸服务触角，初步形成了“风吹草动有人知、家长里短有人问”的村级治理新格局。人大代表们定期在“老屋”溯源本村历史文化，打造融合廉洁文化、科普文化、微湖风情、娱乐健身等文化内涵的幸福主题广场。</w:t>
      </w:r>
    </w:p>
    <w:p w14:paraId="15EE766F">
      <w:pPr>
        <w:numPr>
          <w:ilvl w:val="0"/>
          <w:numId w:val="0"/>
        </w:numPr>
        <w:shd w:val="clear" w:color="auto" w:fill="auto"/>
        <w:spacing w:before="0" w:after="0" w:line="360" w:lineRule="auto"/>
        <w:ind w:left="420" w:leftChars="0"/>
        <w:jc w:val="left"/>
        <w:textAlignment w:val="center"/>
        <w:rPr>
          <w:rFonts w:ascii="宋体" w:eastAsia="宋体" w:hAnsi="宋体" w:cs="宋体" w:hint="eastAsia"/>
          <w:sz w:val="24"/>
          <w:szCs w:val="24"/>
        </w:rPr>
      </w:pPr>
      <w:r>
        <w:rPr>
          <w:rFonts w:ascii="Times New Roman" w:hAnsi="Times New Roman" w:hint="eastAsia"/>
          <w:sz w:val="21"/>
          <w:lang w:eastAsia="zh-CN"/>
        </w:rPr>
        <w:t>（</w:t>
      </w:r>
      <w:r>
        <w:rPr>
          <w:rFonts w:ascii="Times New Roman" w:hAnsi="Times New Roman" w:hint="eastAsia"/>
          <w:sz w:val="21"/>
          <w:lang w:val="en-US" w:eastAsia="zh-CN"/>
        </w:rPr>
        <w:t>2</w:t>
      </w:r>
      <w:r>
        <w:rPr>
          <w:rFonts w:ascii="Times New Roman" w:hAnsi="Times New Roman" w:hint="eastAsia"/>
          <w:sz w:val="21"/>
          <w:lang w:eastAsia="zh-CN"/>
        </w:rPr>
        <w:t>）</w:t>
      </w:r>
      <w:r>
        <w:rPr>
          <w:rFonts w:ascii="Times New Roman" w:hAnsi="Times New Roman"/>
          <w:sz w:val="21"/>
        </w:rPr>
        <w:t>结合材料，运用《政治与法治》知识，说明“人大+老屋说事”机制对乡村治理的作用。</w:t>
      </w:r>
      <w:r>
        <w:rPr>
          <w:rFonts w:ascii="宋体" w:eastAsia="宋体" w:hAnsi="宋体" w:cs="宋体" w:hint="eastAsia"/>
          <w:sz w:val="24"/>
          <w:szCs w:val="24"/>
        </w:rPr>
        <w:t>（</w:t>
      </w:r>
      <w:r>
        <w:rPr>
          <w:rFonts w:ascii="宋体" w:hAnsi="宋体" w:cs="宋体" w:hint="eastAsia"/>
          <w:sz w:val="24"/>
          <w:szCs w:val="24"/>
          <w:lang w:val="en-US" w:eastAsia="zh-CN"/>
        </w:rPr>
        <w:t>8</w:t>
      </w:r>
      <w:r>
        <w:rPr>
          <w:rFonts w:ascii="宋体" w:eastAsia="宋体" w:hAnsi="宋体" w:cs="宋体" w:hint="eastAsia"/>
          <w:sz w:val="24"/>
          <w:szCs w:val="24"/>
        </w:rPr>
        <w:t>分）</w:t>
      </w:r>
    </w:p>
    <w:p w14:paraId="15732058">
      <w:pPr>
        <w:widowControl w:val="0"/>
        <w:numPr>
          <w:ilvl w:val="0"/>
          <w:numId w:val="0"/>
        </w:numPr>
        <w:shd w:val="clear" w:color="auto" w:fill="auto"/>
        <w:spacing w:before="0" w:after="0" w:line="360" w:lineRule="auto"/>
        <w:jc w:val="left"/>
        <w:textAlignment w:val="center"/>
        <w:rPr>
          <w:rFonts w:ascii="宋体" w:eastAsia="宋体" w:hAnsi="宋体" w:cs="宋体" w:hint="eastAsia"/>
          <w:sz w:val="24"/>
          <w:szCs w:val="24"/>
        </w:rPr>
      </w:pPr>
    </w:p>
    <w:p w14:paraId="18C4E8E2">
      <w:pPr>
        <w:widowControl w:val="0"/>
        <w:numPr>
          <w:ilvl w:val="0"/>
          <w:numId w:val="0"/>
        </w:numPr>
        <w:shd w:val="clear" w:color="auto" w:fill="auto"/>
        <w:spacing w:before="0" w:after="0" w:line="360" w:lineRule="auto"/>
        <w:jc w:val="left"/>
        <w:textAlignment w:val="center"/>
        <w:rPr>
          <w:rFonts w:ascii="宋体" w:eastAsia="宋体" w:hAnsi="宋体" w:cs="宋体" w:hint="eastAsia"/>
          <w:sz w:val="24"/>
          <w:szCs w:val="24"/>
        </w:rPr>
      </w:pPr>
    </w:p>
    <w:p w14:paraId="7C2AD8C2">
      <w:pPr>
        <w:widowControl w:val="0"/>
        <w:numPr>
          <w:ilvl w:val="0"/>
          <w:numId w:val="0"/>
        </w:numPr>
        <w:shd w:val="clear" w:color="auto" w:fill="auto"/>
        <w:spacing w:before="0" w:after="0" w:line="360" w:lineRule="auto"/>
        <w:jc w:val="left"/>
        <w:textAlignment w:val="center"/>
        <w:rPr>
          <w:rFonts w:ascii="宋体" w:eastAsia="宋体" w:hAnsi="宋体" w:cs="宋体" w:hint="eastAsia"/>
          <w:sz w:val="24"/>
          <w:szCs w:val="24"/>
        </w:rPr>
      </w:pPr>
    </w:p>
    <w:p w14:paraId="61DF072A">
      <w:pPr>
        <w:widowControl w:val="0"/>
        <w:numPr>
          <w:ilvl w:val="0"/>
          <w:numId w:val="0"/>
        </w:numPr>
        <w:shd w:val="clear" w:color="auto" w:fill="auto"/>
        <w:spacing w:before="0" w:after="0" w:line="360" w:lineRule="auto"/>
        <w:jc w:val="left"/>
        <w:textAlignment w:val="center"/>
        <w:rPr>
          <w:rFonts w:ascii="宋体" w:eastAsia="宋体" w:hAnsi="宋体" w:cs="宋体" w:hint="eastAsia"/>
          <w:sz w:val="24"/>
          <w:szCs w:val="24"/>
        </w:rPr>
      </w:pPr>
    </w:p>
    <w:p w14:paraId="616692CC">
      <w:pPr>
        <w:widowControl w:val="0"/>
        <w:numPr>
          <w:ilvl w:val="0"/>
          <w:numId w:val="0"/>
        </w:numPr>
        <w:shd w:val="clear" w:color="auto" w:fill="auto"/>
        <w:spacing w:before="0" w:after="0" w:line="360" w:lineRule="auto"/>
        <w:jc w:val="left"/>
        <w:textAlignment w:val="center"/>
        <w:rPr>
          <w:rFonts w:ascii="宋体" w:eastAsia="宋体" w:hAnsi="宋体" w:cs="宋体" w:hint="eastAsia"/>
          <w:sz w:val="24"/>
          <w:szCs w:val="24"/>
        </w:rPr>
      </w:pPr>
    </w:p>
    <w:p w14:paraId="0F236236">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25．</w:t>
      </w:r>
      <w:r>
        <w:rPr>
          <w:rFonts w:ascii="宋体" w:eastAsia="宋体" w:hAnsi="宋体" w:cs="宋体" w:hint="eastAsia"/>
          <w:sz w:val="24"/>
          <w:szCs w:val="24"/>
          <w:lang w:eastAsia="zh-CN"/>
        </w:rPr>
        <w:t>（</w:t>
      </w:r>
      <w:r>
        <w:rPr>
          <w:rFonts w:ascii="宋体" w:hAnsi="宋体" w:cs="宋体" w:hint="eastAsia"/>
          <w:sz w:val="24"/>
          <w:szCs w:val="24"/>
          <w:lang w:val="en-US" w:eastAsia="zh-CN"/>
        </w:rPr>
        <w:t>12</w:t>
      </w:r>
      <w:r>
        <w:rPr>
          <w:rFonts w:ascii="宋体" w:eastAsia="宋体" w:hAnsi="宋体" w:cs="宋体" w:hint="eastAsia"/>
          <w:sz w:val="24"/>
          <w:szCs w:val="24"/>
          <w:lang w:val="en-US" w:eastAsia="zh-CN"/>
        </w:rPr>
        <w:t>分）</w:t>
      </w:r>
      <w:r>
        <w:rPr>
          <w:rFonts w:ascii="Times New Roman" w:hAnsi="Times New Roman"/>
          <w:sz w:val="21"/>
        </w:rPr>
        <w:t>阅读材料，回答问题。</w:t>
      </w:r>
    </w:p>
    <w:p w14:paraId="4431DD9C">
      <w:pPr>
        <w:shd w:val="clear" w:color="auto" w:fill="auto"/>
        <w:spacing w:before="0" w:after="0" w:line="360" w:lineRule="auto"/>
        <w:ind w:left="420" w:firstLine="0"/>
        <w:jc w:val="left"/>
        <w:textAlignment w:val="center"/>
        <w:rPr>
          <w:rFonts w:ascii="Times New Roman" w:hAnsi="Times New Roman"/>
          <w:sz w:val="21"/>
        </w:rPr>
      </w:pPr>
      <w:r>
        <w:rPr>
          <w:rFonts w:ascii="楷体" w:eastAsia="楷体" w:hAnsi="楷体" w:cs="楷体"/>
          <w:sz w:val="21"/>
        </w:rPr>
        <w:t>人工智能（AI）是人类发展新领域。</w:t>
      </w:r>
    </w:p>
    <w:p w14:paraId="42B509AF">
      <w:pPr>
        <w:shd w:val="clear" w:color="auto" w:fill="auto"/>
        <w:spacing w:before="0" w:after="0" w:line="360" w:lineRule="auto"/>
        <w:ind w:left="420" w:firstLine="0"/>
        <w:jc w:val="left"/>
        <w:textAlignment w:val="center"/>
        <w:rPr>
          <w:rFonts w:ascii="Times New Roman" w:hAnsi="Times New Roman"/>
          <w:sz w:val="21"/>
        </w:rPr>
      </w:pPr>
      <w:r>
        <w:rPr>
          <w:rFonts w:ascii="楷体" w:eastAsia="楷体" w:hAnsi="楷体" w:cs="楷体"/>
          <w:sz w:val="21"/>
        </w:rPr>
        <w:t>材料一</w:t>
      </w:r>
      <w:r>
        <w:rPr>
          <w:rFonts w:ascii="Times New Roman" w:eastAsia="Times New Roman" w:hAnsi="Times New Roman" w:cs="Times New Roman"/>
          <w:kern w:val="0"/>
          <w:sz w:val="24"/>
          <w:szCs w:val="24"/>
        </w:rPr>
        <w:t>  </w:t>
      </w:r>
      <w:r>
        <w:rPr>
          <w:rFonts w:ascii="楷体" w:eastAsia="楷体" w:hAnsi="楷体" w:cs="楷体"/>
          <w:sz w:val="21"/>
        </w:rPr>
        <w:t>人类社会发展的历史就是一部科技创新史。</w:t>
      </w:r>
    </w:p>
    <w:p w14:paraId="33138142">
      <w:pPr>
        <w:shd w:val="clear" w:color="auto" w:fill="auto"/>
        <w:spacing w:before="0" w:after="0" w:line="360" w:lineRule="auto"/>
        <w:ind w:left="420" w:firstLine="0"/>
        <w:jc w:val="left"/>
        <w:textAlignment w:val="center"/>
        <w:rPr>
          <w:rFonts w:ascii="Times New Roman" w:hAnsi="Times New Roman"/>
          <w:sz w:val="21"/>
        </w:rPr>
      </w:pPr>
      <w:r>
        <w:rPr>
          <w:rFonts w:ascii="楷体" w:eastAsia="楷体" w:hAnsi="楷体" w:cs="楷体"/>
          <w:sz w:val="21"/>
        </w:rPr>
        <w:t>16世纪以前，影响人类生活的重大科技发明约有300项，其中中国人的发明占175项，中国四大发明更是造福全世界。</w:t>
      </w:r>
    </w:p>
    <w:p w14:paraId="326BF912">
      <w:pPr>
        <w:shd w:val="clear" w:color="auto" w:fill="auto"/>
        <w:spacing w:before="0" w:after="0" w:line="360" w:lineRule="auto"/>
        <w:ind w:left="420" w:firstLine="0"/>
        <w:jc w:val="left"/>
        <w:textAlignment w:val="center"/>
        <w:rPr>
          <w:rFonts w:ascii="Times New Roman" w:hAnsi="Times New Roman"/>
          <w:sz w:val="21"/>
        </w:rPr>
      </w:pPr>
      <w:r>
        <w:rPr>
          <w:rFonts w:ascii="楷体" w:eastAsia="楷体" w:hAnsi="楷体" w:cs="楷体"/>
          <w:sz w:val="21"/>
        </w:rPr>
        <w:t>从18世纪第一次工业革命的机械化到19世纪第二次工业革命的电气化，再到20世纪第三次工业革命的信息化，一次次颠覆性的科技革新带来社会生产力的大解放，从根本上改变了人类历史的发展轨迹。</w:t>
      </w:r>
    </w:p>
    <w:p w14:paraId="78F14994">
      <w:pPr>
        <w:shd w:val="clear" w:color="auto" w:fill="auto"/>
        <w:spacing w:before="0" w:after="0" w:line="360" w:lineRule="auto"/>
        <w:ind w:left="420" w:firstLine="0"/>
        <w:jc w:val="left"/>
        <w:textAlignment w:val="center"/>
        <w:rPr>
          <w:rFonts w:ascii="Times New Roman" w:hAnsi="Times New Roman"/>
          <w:sz w:val="21"/>
        </w:rPr>
      </w:pPr>
      <w:r>
        <w:rPr>
          <w:rFonts w:ascii="楷体" w:eastAsia="楷体" w:hAnsi="楷体" w:cs="楷体"/>
          <w:sz w:val="21"/>
        </w:rPr>
        <w:t>人工智能是新一轮科技革命和产业变革的重要驱动力量。面对这一发展机遇，加快发展新一代人工智能是我们赢得全球科技竞争主动权的重要战略抓手，是推动我国产业优化升级、生产力整体跃升的重要战略资源。</w:t>
      </w:r>
    </w:p>
    <w:p w14:paraId="201C022D">
      <w:pPr>
        <w:shd w:val="clear" w:color="auto" w:fill="auto"/>
        <w:spacing w:before="0" w:after="0" w:line="360" w:lineRule="auto"/>
        <w:ind w:left="420" w:firstLine="0"/>
        <w:jc w:val="left"/>
        <w:textAlignment w:val="center"/>
        <w:rPr>
          <w:rFonts w:ascii="Times New Roman" w:hAnsi="Times New Roman"/>
          <w:sz w:val="21"/>
        </w:rPr>
      </w:pPr>
      <w:r>
        <w:rPr>
          <w:rFonts w:ascii="楷体" w:eastAsia="楷体" w:hAnsi="楷体" w:cs="楷体"/>
          <w:sz w:val="21"/>
        </w:rPr>
        <w:t>材料二</w:t>
      </w:r>
      <w:r>
        <w:rPr>
          <w:rFonts w:ascii="Times New Roman" w:eastAsia="Times New Roman" w:hAnsi="Times New Roman" w:cs="Times New Roman"/>
          <w:kern w:val="0"/>
          <w:sz w:val="24"/>
          <w:szCs w:val="24"/>
        </w:rPr>
        <w:t>  </w:t>
      </w:r>
      <w:r>
        <w:rPr>
          <w:rFonts w:ascii="楷体" w:eastAsia="楷体" w:hAnsi="楷体" w:cs="楷体"/>
          <w:sz w:val="21"/>
        </w:rPr>
        <w:t>应用“AI”有红线。</w:t>
      </w:r>
    </w:p>
    <w:p w14:paraId="0309D683">
      <w:pPr>
        <w:shd w:val="clear" w:color="auto" w:fill="auto"/>
        <w:spacing w:before="0" w:after="0" w:line="360" w:lineRule="auto"/>
        <w:ind w:left="420" w:firstLine="0"/>
        <w:jc w:val="left"/>
        <w:textAlignment w:val="center"/>
        <w:rPr>
          <w:rFonts w:ascii="Times New Roman" w:hAnsi="Times New Roman"/>
          <w:sz w:val="21"/>
        </w:rPr>
      </w:pPr>
      <w:r>
        <w:rPr>
          <w:rFonts w:ascii="楷体" w:eastAsia="楷体" w:hAnsi="楷体" w:cs="楷体"/>
          <w:sz w:val="21"/>
        </w:rPr>
        <w:t>【案例】殷某是一名配音师，曾接受F文化传媒公司的委托录制录音制品，F公司为录音制品的著作权人。后F公司将殷某录音制品的音频提供给k软件公司，允许其以商业或非商业的用途使用、复制、修改数据用于其产品及服务。k公司以殷某的录音制品作为素材进行AI化处理，生成文本转语音产品并对外出售。其生成的AI声音与殷某的音色、语调、发音风格等具有高度一致性。殷某将两家公司诉至法院，法院支持了此诉讼。</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325"/>
      </w:tblGrid>
      <w:tr w14:paraId="1BF9A32D">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0E94611">
            <w:pPr>
              <w:shd w:val="clear" w:color="auto" w:fill="auto"/>
              <w:spacing w:line="360" w:lineRule="auto"/>
              <w:jc w:val="left"/>
              <w:textAlignment w:val="center"/>
              <w:rPr>
                <w:rFonts w:ascii="Times New Roman" w:hAnsi="Times New Roman"/>
                <w:sz w:val="21"/>
              </w:rPr>
            </w:pPr>
            <w:r>
              <w:rPr>
                <w:rFonts w:ascii="楷体" w:eastAsia="楷体" w:hAnsi="楷体" w:cs="楷体"/>
                <w:sz w:val="21"/>
              </w:rPr>
              <w:t>《中华人民共和国民法典》第</w:t>
            </w:r>
            <w:r>
              <w:rPr>
                <w:rFonts w:ascii="Times New Roman" w:hAnsi="Times New Roman"/>
                <w:sz w:val="21"/>
              </w:rPr>
              <w:t>1023</w:t>
            </w:r>
            <w:r>
              <w:rPr>
                <w:rFonts w:ascii="楷体" w:eastAsia="楷体" w:hAnsi="楷体" w:cs="楷体"/>
                <w:sz w:val="21"/>
              </w:rPr>
              <w:t>条规定：对自然人声音的保护，参照适用肖像权保护的有关规定。</w:t>
            </w:r>
          </w:p>
        </w:tc>
      </w:tr>
    </w:tbl>
    <w:p w14:paraId="3BF6FE08">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(1)结合材料，运用发展观的知识，分析我们应如何把握世界科技发展大势。</w:t>
      </w:r>
      <w:r>
        <w:rPr>
          <w:rFonts w:ascii="宋体" w:eastAsia="宋体" w:hAnsi="宋体" w:cs="宋体" w:hint="eastAsia"/>
          <w:sz w:val="24"/>
          <w:szCs w:val="24"/>
          <w:lang w:eastAsia="zh-CN"/>
        </w:rPr>
        <w:t>（</w:t>
      </w:r>
      <w:r>
        <w:rPr>
          <w:rFonts w:ascii="宋体" w:hAnsi="宋体" w:cs="宋体" w:hint="eastAsia"/>
          <w:sz w:val="24"/>
          <w:szCs w:val="24"/>
          <w:lang w:val="en-US" w:eastAsia="zh-CN"/>
        </w:rPr>
        <w:t>6</w:t>
      </w:r>
      <w:r>
        <w:rPr>
          <w:rFonts w:ascii="宋体" w:eastAsia="宋体" w:hAnsi="宋体" w:cs="宋体" w:hint="eastAsia"/>
          <w:sz w:val="24"/>
          <w:szCs w:val="24"/>
          <w:lang w:val="en-US" w:eastAsia="zh-CN"/>
        </w:rPr>
        <w:t>分）</w:t>
      </w:r>
    </w:p>
    <w:p w14:paraId="02515E97">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r>
        <w:rPr>
          <w:rFonts w:ascii="Times New Roman" w:hAnsi="Times New Roman"/>
          <w:sz w:val="21"/>
        </w:rPr>
        <w:t>(2)结合材料二，运用法律知识，说明法院支持诉讼的理由及两家公司应该承担的责任。</w:t>
      </w:r>
      <w:r>
        <w:rPr>
          <w:rFonts w:ascii="宋体" w:eastAsia="宋体" w:hAnsi="宋体" w:cs="宋体" w:hint="eastAsia"/>
          <w:sz w:val="24"/>
          <w:szCs w:val="24"/>
          <w:lang w:eastAsia="zh-CN"/>
        </w:rPr>
        <w:t>（</w:t>
      </w:r>
      <w:r>
        <w:rPr>
          <w:rFonts w:ascii="宋体" w:hAnsi="宋体" w:cs="宋体" w:hint="eastAsia"/>
          <w:sz w:val="24"/>
          <w:szCs w:val="24"/>
          <w:lang w:val="en-US" w:eastAsia="zh-CN"/>
        </w:rPr>
        <w:t>6</w:t>
      </w:r>
      <w:r>
        <w:rPr>
          <w:rFonts w:ascii="宋体" w:eastAsia="宋体" w:hAnsi="宋体" w:cs="宋体" w:hint="eastAsia"/>
          <w:sz w:val="24"/>
          <w:szCs w:val="24"/>
          <w:lang w:val="en-US" w:eastAsia="zh-CN"/>
        </w:rPr>
        <w:t>分）</w:t>
      </w:r>
    </w:p>
    <w:p w14:paraId="4F98EF13">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179B34E">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2D92FC63">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042BC0F">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78CB3F5F">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B84B527">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42A0DF9">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9AACBB3">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06157832">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20AFB1C4">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7B75899E">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26．</w:t>
      </w:r>
      <w:r>
        <w:rPr>
          <w:rFonts w:ascii="宋体" w:eastAsia="宋体" w:hAnsi="宋体" w:cs="宋体" w:hint="eastAsia"/>
          <w:sz w:val="24"/>
          <w:szCs w:val="24"/>
          <w:lang w:eastAsia="zh-CN"/>
        </w:rPr>
        <w:t>（</w:t>
      </w:r>
      <w:r>
        <w:rPr>
          <w:rFonts w:ascii="宋体" w:hAnsi="宋体" w:cs="宋体" w:hint="eastAsia"/>
          <w:sz w:val="24"/>
          <w:szCs w:val="24"/>
          <w:lang w:val="en-US" w:eastAsia="zh-CN"/>
        </w:rPr>
        <w:t>8</w:t>
      </w:r>
      <w:r>
        <w:rPr>
          <w:rFonts w:ascii="宋体" w:eastAsia="宋体" w:hAnsi="宋体" w:cs="宋体" w:hint="eastAsia"/>
          <w:sz w:val="24"/>
          <w:szCs w:val="24"/>
          <w:lang w:val="en-US" w:eastAsia="zh-CN"/>
        </w:rPr>
        <w:t>分）</w:t>
      </w:r>
      <w:r>
        <w:rPr>
          <w:rFonts w:ascii="楷体" w:eastAsia="楷体" w:hAnsi="楷体" w:cs="楷体"/>
          <w:sz w:val="21"/>
        </w:rPr>
        <w:t>“车路云一体化”即“聪明的车”“智慧的路”“强大的云”融合协同发展，有利于实现自动驾驶的快速发展。但现有的一些交通规则、法律法规，还不足以支持自动驾驶技术的快速发展。“车路云一体化”通过为道路配备先进通信和感知技术基础设施，再通过网联技术将实时收集到的路况信息上传至云平台，云平台将收集到的路况信息进行综合分析，将驾驶决策建议反馈至智能化汽车，打通道路、汽车与云平台的连接，实现了智能化、自动化驾驶的技术网联突破。</w:t>
      </w:r>
    </w:p>
    <w:p w14:paraId="53302AB4">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结合材料，运用《逻辑与思维》的相关知识，回答下列问题：</w:t>
      </w:r>
    </w:p>
    <w:p w14:paraId="4B929077">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(1)有人认为，只要“车路云一体化”，就能实现自动驾驶的快速发展。请判断这一观点的真假，并说明理由。</w:t>
      </w:r>
      <w:r>
        <w:rPr>
          <w:rFonts w:ascii="宋体" w:eastAsia="宋体" w:hAnsi="宋体" w:cs="宋体" w:hint="eastAsia"/>
          <w:sz w:val="24"/>
          <w:szCs w:val="24"/>
          <w:lang w:eastAsia="zh-CN"/>
        </w:rPr>
        <w:t>（</w:t>
      </w:r>
      <w:r>
        <w:rPr>
          <w:rFonts w:ascii="宋体" w:hAnsi="宋体" w:cs="宋体" w:hint="eastAsia"/>
          <w:sz w:val="24"/>
          <w:szCs w:val="24"/>
          <w:lang w:val="en-US" w:eastAsia="zh-CN"/>
        </w:rPr>
        <w:t>4</w:t>
      </w:r>
      <w:r>
        <w:rPr>
          <w:rFonts w:ascii="宋体" w:eastAsia="宋体" w:hAnsi="宋体" w:cs="宋体" w:hint="eastAsia"/>
          <w:sz w:val="24"/>
          <w:szCs w:val="24"/>
          <w:lang w:val="en-US" w:eastAsia="zh-CN"/>
        </w:rPr>
        <w:t>分）</w:t>
      </w:r>
    </w:p>
    <w:p w14:paraId="6BA38C2E">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r>
        <w:rPr>
          <w:rFonts w:ascii="Times New Roman" w:hAnsi="Times New Roman"/>
          <w:sz w:val="21"/>
        </w:rPr>
        <w:t>(2)指出“车路云一体化”蕴含的创新思维方法。</w:t>
      </w:r>
      <w:r>
        <w:rPr>
          <w:rFonts w:ascii="宋体" w:eastAsia="宋体" w:hAnsi="宋体" w:cs="宋体" w:hint="eastAsia"/>
          <w:sz w:val="24"/>
          <w:szCs w:val="24"/>
          <w:lang w:eastAsia="zh-CN"/>
        </w:rPr>
        <w:t>（</w:t>
      </w:r>
      <w:r>
        <w:rPr>
          <w:rFonts w:ascii="宋体" w:hAnsi="宋体" w:cs="宋体" w:hint="eastAsia"/>
          <w:sz w:val="24"/>
          <w:szCs w:val="24"/>
          <w:lang w:val="en-US" w:eastAsia="zh-CN"/>
        </w:rPr>
        <w:t>4</w:t>
      </w:r>
      <w:r>
        <w:rPr>
          <w:rFonts w:ascii="宋体" w:eastAsia="宋体" w:hAnsi="宋体" w:cs="宋体" w:hint="eastAsia"/>
          <w:sz w:val="24"/>
          <w:szCs w:val="24"/>
          <w:lang w:val="en-US" w:eastAsia="zh-CN"/>
        </w:rPr>
        <w:t>分）</w:t>
      </w:r>
    </w:p>
    <w:p w14:paraId="36DEADFA">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91DDA3F">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1C59C61D">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31D20ADA">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25C5EB8D">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D876462">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3E34D2B8">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170E76C5">
      <w:pPr>
        <w:shd w:val="clear" w:color="auto" w:fill="auto"/>
        <w:spacing w:before="0" w:after="0" w:line="360" w:lineRule="auto"/>
        <w:ind w:left="420" w:hanging="420"/>
        <w:jc w:val="left"/>
        <w:textAlignment w:val="center"/>
        <w:rPr>
          <w:rFonts w:ascii="Times New Roman" w:hAnsi="Times New Roman"/>
          <w:sz w:val="21"/>
        </w:rPr>
      </w:pPr>
      <w:r>
        <w:rPr>
          <w:rFonts w:ascii="Times New Roman" w:hAnsi="Times New Roman"/>
          <w:sz w:val="21"/>
        </w:rPr>
        <w:t>27．阅读材料，完成下列要求。</w:t>
      </w:r>
    </w:p>
    <w:p w14:paraId="5A74CB5D">
      <w:pPr>
        <w:shd w:val="clear" w:color="auto" w:fill="auto"/>
        <w:spacing w:before="0" w:after="0" w:line="360" w:lineRule="auto"/>
        <w:ind w:left="420" w:firstLine="0"/>
        <w:jc w:val="left"/>
        <w:textAlignment w:val="center"/>
        <w:rPr>
          <w:rFonts w:ascii="Times New Roman" w:hAnsi="Times New Roman"/>
          <w:sz w:val="21"/>
        </w:rPr>
      </w:pPr>
      <w:r>
        <w:rPr>
          <w:rFonts w:ascii="楷体" w:eastAsia="楷体" w:hAnsi="楷体" w:cs="楷体"/>
          <w:sz w:val="21"/>
        </w:rPr>
        <w:t>2025年以来，美国新一届政府正式上台执政，重返白宫的特朗普四处挥舞“关税大棒”，对包括中国在内的各主要贸易国家实施加征进口关税政策。美国政府当前的关税政策与全球化趋势背道而驰，对全球贸易体系造成严重破坏，给全球经济带来不确定性。特朗普政府一系列激进的关税举措，颠覆了战后贸易秩序和规则体系，世界经济局势愈发紧张。</w:t>
      </w:r>
    </w:p>
    <w:p w14:paraId="7B700D52">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假如你是我国外交部发言人，请拟一份发言提纲，就美国政府加征进口关税答记者问阐明中国主张。</w:t>
      </w:r>
    </w:p>
    <w:p w14:paraId="3F82A1DB">
      <w:pPr>
        <w:shd w:val="clear" w:color="auto" w:fill="auto"/>
        <w:spacing w:before="0" w:after="0" w:line="360" w:lineRule="auto"/>
        <w:ind w:left="420" w:firstLine="0"/>
        <w:jc w:val="left"/>
        <w:textAlignment w:val="center"/>
        <w:rPr>
          <w:rFonts w:ascii="Times New Roman" w:hAnsi="Times New Roman"/>
          <w:sz w:val="21"/>
        </w:rPr>
      </w:pPr>
      <w:r>
        <w:rPr>
          <w:rFonts w:ascii="Times New Roman" w:hAnsi="Times New Roman"/>
          <w:sz w:val="21"/>
        </w:rPr>
        <w:t>要求：①围绕主题，逻辑清晰；②学科术语使用规范；③字数在250字左右。</w:t>
      </w:r>
    </w:p>
    <w:p w14:paraId="5BD127EF">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sz w:val="24"/>
          <w:szCs w:val="24"/>
        </w:rPr>
      </w:pPr>
    </w:p>
    <w:p w14:paraId="62DF9AB9">
      <w:pPr>
        <w:shd w:val="clear" w:color="auto" w:fill="auto"/>
        <w:spacing w:before="0" w:after="0" w:line="360" w:lineRule="auto"/>
        <w:jc w:val="left"/>
        <w:textAlignment w:val="center"/>
        <w:rPr>
          <w:rFonts w:ascii="Times New Roman" w:hAnsi="Times New Roman" w:cs="Times New Roman" w:hint="default"/>
        </w:rPr>
      </w:pPr>
    </w:p>
    <w:sectPr>
      <w:headerReference w:type="even" r:id="rId10"/>
      <w:headerReference w:type="default" r:id="rId11"/>
      <w:footerReference w:type="even" r:id="rId12"/>
      <w:footerReference w:type="default" r:id="rId13"/>
      <w:pgSz w:w="23814" w:h="16839" w:orient="landscape"/>
      <w:pgMar w:top="1134" w:right="1134" w:bottom="1134" w:left="1134" w:header="851" w:footer="992" w:gutter="1418"/>
      <w:cols w:num="2" w:sep="1" w:space="425"/>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CB731EB">
    <w:pPr>
      <w:pStyle w:val="Footer"/>
      <w:ind w:firstLine="4140" w:firstLineChars="2300"/>
      <w:rPr>
        <w:rFonts w:ascii="Times New Roman" w:hAnsi="Times New Roman"/>
      </w:rPr>
    </w:pPr>
    <w:r>
      <w:rPr>
        <w:rFonts w:ascii="Times New Roman" w:hAnsi="Times New Roman"/>
      </w:rPr>
      <mc:AlternateContent>
        <mc:Choice Requires="wps">
          <w:drawing>
            <wp:anchor distT="0" distB="0" distL="114300" distR="114300" simplePos="0" relativeHeight="251658240" behindDoc="0" locked="0" layoutInCell="1" allowOverlap="1">
              <wp:simplePos x="0" y="0"/>
              <wp:positionH relativeFrom="column">
                <wp:posOffset>13545820</wp:posOffset>
              </wp:positionH>
              <wp:positionV relativeFrom="paragraph">
                <wp:posOffset>-5715</wp:posOffset>
              </wp:positionV>
              <wp:extent cx="409575" cy="771525"/>
              <wp:effectExtent l="4445" t="4445" r="5080" b="5080"/>
              <wp:wrapNone/>
              <wp:docPr id="13" name="文本框 77"/>
              <wp:cNvGraphicFramePr/>
              <a:graphic xmlns:a="http://schemas.openxmlformats.org/drawingml/2006/main">
                <a:graphicData uri="http://schemas.microsoft.com/office/word/2010/wordprocessingShape">
                  <wps:wsp xmlns:wps="http://schemas.microsoft.com/office/word/2010/wordprocessingShape">
                    <wps:cNvSpPr txBox="1"/>
                    <wps:spPr>
                      <a:xfrm>
                        <a:off x="0" y="0"/>
                        <a:ext cx="409575" cy="771525"/>
                      </a:xfrm>
                      <a:prstGeom prst="rect">
                        <a:avLst/>
                      </a:prstGeom>
                      <a:solidFill>
                        <a:srgbClr val="5A5A5A"/>
                      </a:solidFill>
                      <a:ln w="9525">
                        <a:solidFill>
                          <a:srgbClr val="000000"/>
                        </a:solidFill>
                        <a:prstDash val="solid"/>
                        <a:miter lim="0"/>
                      </a:ln>
                    </wps:spPr>
                    <wps:txbx>
                      <w:txbxContent>
                        <w:p/>
                      </w:txbxContent>
                    </wps:txbx>
                    <wps:bodyPr wrap="square" upright="1"/>
                  </wps:wsp>
                </a:graphicData>
              </a:graphic>
            </wp:anchor>
          </w:drawing>
        </mc:Choice>
        <mc:Fallback>
          <w:pict>
            <v:shapetype id="_x0000_t202" coordsize="21600,21600" o:spt="202" path="m,l,21600r21600,l21600,xe">
              <v:stroke joinstyle="miter"/>
              <v:path gradientshapeok="t" o:connecttype="rect"/>
            </v:shapetype>
            <v:shape id="文本框 77" o:spid="_x0000_s2067" type="#_x0000_t202" style="width:32.25pt;height:60.75pt;margin-top:-0.45pt;margin-left:1066.6pt;mso-height-relative:page;mso-width-relative:page;position:absolute;z-index:251659264" coordsize="21600,21600" filled="t" fillcolor="#5a5a5a" stroked="t" strokecolor="black">
              <v:stroke joinstyle="miter"/>
              <o:lock v:ext="edit" aspectratio="f"/>
              <v:textbox>
                <w:txbxContent>
                  <w:p w14:paraId="4C9749CD"/>
                </w:txbxContent>
              </v:textbox>
            </v:shape>
          </w:pict>
        </mc:Fallback>
      </mc:AlternateContent>
    </w:r>
    <w:r>
      <w:rPr>
        <w:rFonts w:ascii="Times New Roman" w:hAnsi="Times New Roman" w:hint="eastAsia"/>
      </w:rPr>
      <w:t>试题</w:t>
    </w:r>
    <w:r>
      <w:rPr>
        <w:rFonts w:ascii="Times New Roman" w:hAnsi="Times New Roman"/>
      </w:rPr>
      <w:t xml:space="preserve"> 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instrText>4</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t>页（共</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SECTIONPAGES </w:instrText>
    </w:r>
    <w:r>
      <w:rPr>
        <w:rFonts w:ascii="Times New Roman" w:hAnsi="Times New Roman"/>
      </w:rPr>
      <w:fldChar w:fldCharType="separate"/>
    </w:r>
    <w:r>
      <w:rPr>
        <w:rFonts w:ascii="Times New Roman" w:hAnsi="Times New Roman"/>
      </w:rPr>
      <w:instrText>4</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t xml:space="preserve">页）                                                                                    </w:t>
    </w:r>
    <w:r>
      <w:rPr>
        <w:rFonts w:ascii="Times New Roman" w:hAnsi="Times New Roman" w:hint="eastAsia"/>
      </w:rPr>
      <w:t xml:space="preserve">  </w:t>
    </w:r>
    <w:r>
      <w:rPr>
        <w:rFonts w:ascii="Times New Roman" w:hAnsi="Times New Roman"/>
      </w:rPr>
      <w:t xml:space="preserve"> 试题 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instrText>4</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t>页（共</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SECTIONPAGES </w:instrText>
    </w:r>
    <w:r>
      <w:rPr>
        <w:rFonts w:ascii="Times New Roman" w:hAnsi="Times New Roman"/>
      </w:rPr>
      <w:fldChar w:fldCharType="separate"/>
    </w:r>
    <w:r>
      <w:rPr>
        <w:rFonts w:ascii="Times New Roman" w:hAnsi="Times New Roman"/>
      </w:rPr>
      <w:instrText>4</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5EF9272">
    <w:pPr>
      <w:pStyle w:val="Footer"/>
      <w:ind w:firstLine="3780" w:firstLineChars="2100"/>
      <w:rPr>
        <w:rFonts w:ascii="Times New Roman" w:hAnsi="Times New Roman"/>
      </w:rPr>
    </w:pPr>
    <w:r>
      <w:rPr>
        <w:rFonts w:ascii="Times New Roman" w:hAnsi="Times New Roman"/>
      </w:rPr>
      <w:t>试题 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instrText>3</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t>页（共</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SECTIONPAGES </w:instrText>
    </w:r>
    <w:r>
      <w:rPr>
        <w:rFonts w:ascii="Times New Roman" w:hAnsi="Times New Roman"/>
      </w:rPr>
      <w:fldChar w:fldCharType="separate"/>
    </w:r>
    <w:r>
      <w:rPr>
        <w:rFonts w:ascii="Times New Roman" w:hAnsi="Times New Roman"/>
      </w:rPr>
      <w:instrText>4</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t xml:space="preserve">页）                                                                                         </w:t>
    </w:r>
    <w:r>
      <w:rPr>
        <w:rFonts w:ascii="Times New Roman" w:hAnsi="Times New Roman" w:hint="eastAsia"/>
      </w:rPr>
      <w:t xml:space="preserve">  </w:t>
    </w:r>
    <w:r>
      <w:rPr>
        <w:rFonts w:ascii="Times New Roman" w:hAnsi="Times New Roman"/>
      </w:rPr>
      <w:t xml:space="preserve"> 试题 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instrText>3</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t>页（共</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SECTIONPAGES </w:instrText>
    </w:r>
    <w:r>
      <w:rPr>
        <w:rFonts w:ascii="Times New Roman" w:hAnsi="Times New Roman"/>
      </w:rPr>
      <w:fldChar w:fldCharType="separate"/>
    </w:r>
    <w:r>
      <w:rPr>
        <w:rFonts w:ascii="Times New Roman" w:hAnsi="Times New Roman"/>
      </w:rPr>
      <w:instrText>4</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t>页）</w:t>
    </w:r>
  </w:p>
  <w:p w14:paraId="430A164A">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68"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69" type="#_x0000_t75" alt="学科网 zxxk.com" style="width:0.05pt;height:0.05pt;margin-top:-20.75pt;margin-left:64.05pt;mso-height-relative:page;mso-width-relative:page;position:absolute;z-index:251661312" coordsize="21600,21600" o:preferrelative="t" filled="f" stroked="f">
          <v:stroke joinstyle="miter"/>
          <v:imagedata r:id="rId1" o:title=""/>
          <o:lock v:ext="edit" aspectratio="t"/>
        </v:shape>
      </w:pict>
    </w:r>
    <w:r>
      <w:rPr>
        <w:rFonts w:ascii="Times New Roman" w:hAnsi="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70"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71" type="#_x0000_t75" alt="学科网 zxxk.com" style="width:0.05pt;height:0.05pt;margin-top:-20.75pt;margin-left:64.05pt;position:absolute;z-index:251663360" filled="f" stroked="f">
          <v:imagedata r:id="rId2" r:href="rId3"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7BB213F">
    <w:r>
      <w:drawing>
        <wp:inline distT="0" distB="0" distL="114300" distR="114300">
          <wp:extent cx="2186940" cy="194310"/>
          <wp:effectExtent l="0" t="0" r="3810" b="1524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xmlns:r="http://schemas.openxmlformats.org/officeDocument/2006/relationships" r:embed="rId1"/>
                  <a:stretch>
                    <a:fillRect/>
                  </a:stretch>
                </pic:blipFill>
                <pic:spPr>
                  <a:xfrm>
                    <a:off x="0" y="0"/>
                    <a:ext cx="2186940" cy="194310"/>
                  </a:xfrm>
                  <a:prstGeom prst="rect">
                    <a:avLst/>
                  </a:prstGeom>
                  <a:noFill/>
                  <a:ln>
                    <a:noFill/>
                  </a:ln>
                </pic:spPr>
              </pic:pic>
            </a:graphicData>
          </a:graphic>
        </wp:inline>
      </w:drawing>
    </w:r>
    <w:r>
      <mc:AlternateContent>
        <mc:Choice Requires="wpg">
          <w:drawing>
            <wp:anchor distT="0" distB="0" distL="114300" distR="114300" simplePos="0" relativeHeight="251664384" behindDoc="0" locked="0" layoutInCell="1" allowOverlap="1">
              <wp:simplePos x="0" y="0"/>
              <wp:positionH relativeFrom="column">
                <wp:posOffset>13545820</wp:posOffset>
              </wp:positionH>
              <wp:positionV relativeFrom="paragraph">
                <wp:posOffset>-213360</wp:posOffset>
              </wp:positionV>
              <wp:extent cx="819150" cy="10677525"/>
              <wp:effectExtent l="4445" t="4445" r="14605" b="5080"/>
              <wp:wrapNone/>
              <wp:docPr id="20" name="组合 78"/>
              <wp:cNvGraphicFramePr/>
              <a:graphic xmlns:a="http://schemas.openxmlformats.org/drawingml/2006/main">
                <a:graphicData uri="http://schemas.microsoft.com/office/word/2010/wordprocessingGroup">
                  <wpg:wgp xmlns:wpg="http://schemas.microsoft.com/office/word/2010/wordprocessingGroup">
                    <wpg:cNvGrpSpPr/>
                    <wpg:grpSpPr>
                      <a:xfrm>
                        <a:off x="0" y="0"/>
                        <a:ext cx="819150" cy="10677525"/>
                        <a:chOff x="22466" y="5"/>
                        <a:chExt cx="1290" cy="16815"/>
                      </a:xfrm>
                    </wpg:grpSpPr>
                    <wps:wsp xmlns:wps="http://schemas.microsoft.com/office/word/2010/wordprocessingShape">
                      <wps:cNvPr id="18" name="文本框 73"/>
                      <wps:cNvSpPr txBox="1"/>
                      <wps:spPr>
                        <a:xfrm>
                          <a:off x="23111" y="5"/>
                          <a:ext cx="645" cy="16815"/>
                        </a:xfrm>
                        <a:prstGeom prst="rect">
                          <a:avLst/>
                        </a:prstGeom>
                        <a:solidFill>
                          <a:srgbClr val="FFFFFF"/>
                        </a:solidFill>
                        <a:ln w="9525">
                          <a:solidFill>
                            <a:srgbClr val="000000"/>
                          </a:solidFill>
                          <a:prstDash val="solid"/>
                          <a:miter lim="0"/>
                        </a:ln>
                      </wps:spPr>
                      <wps:txbx>
                        <w:txbxContent>
                          <w:p>
                            <w:pPr>
                              <w:rPr>
                                <w:spacing w:val="13"/>
                              </w:rPr>
                            </w:pPr>
                            <w:r>
                              <w:rPr>
                                <w:rFonts w:hint="eastAsia"/>
                                <w:spacing w:val="13"/>
                              </w:rPr>
                              <w:t>………………○………………外………………○………………装………………○………………订………………○………………</w:t>
                            </w:r>
                            <w:r>
                              <w:rPr>
                                <w:spacing w:val="13"/>
                              </w:rPr>
                              <w:t>线</w:t>
                            </w:r>
                            <w:r>
                              <w:rPr>
                                <w:rFonts w:hint="eastAsia"/>
                                <w:spacing w:val="13"/>
                              </w:rPr>
                              <w:t>………………○………………</w:t>
                            </w:r>
                          </w:p>
                        </w:txbxContent>
                      </wps:txbx>
                      <wps:bodyPr vert="vert" wrap="square" upright="1"/>
                    </wps:wsp>
                    <wps:wsp xmlns:wps="http://schemas.microsoft.com/office/word/2010/wordprocessingShape">
                      <wps:cNvPr id="19" name="文本框 76"/>
                      <wps:cNvSpPr txBox="1"/>
                      <wps:spPr>
                        <a:xfrm>
                          <a:off x="22466" y="5"/>
                          <a:ext cx="645" cy="1110"/>
                        </a:xfrm>
                        <a:prstGeom prst="rect">
                          <a:avLst/>
                        </a:prstGeom>
                        <a:solidFill>
                          <a:srgbClr val="5A5A5A"/>
                        </a:solidFill>
                        <a:ln w="9525">
                          <a:solidFill>
                            <a:srgbClr val="000000"/>
                          </a:solidFill>
                          <a:prstDash val="solid"/>
                          <a:miter lim="0"/>
                        </a:ln>
                      </wps:spPr>
                      <wps:txbx>
                        <w:txbxContent>
                          <w:p/>
                        </w:txbxContent>
                      </wps:txbx>
                      <wps:bodyPr wrap="square" upright="1"/>
                    </wps:wsp>
                  </wpg:wgp>
                </a:graphicData>
              </a:graphic>
            </wp:anchor>
          </w:drawing>
        </mc:Choice>
        <mc:Fallback>
          <w:pict>
            <v:group id="组合 78" o:spid="_x0000_s2049" style="width:64.5pt;height:840.75pt;margin-top:-16.8pt;margin-left:1066.6pt;mso-height-relative:page;mso-width-relative:page;position:absolute;z-index:251665408" coordorigin="22466,5" coordsize="1290,16815">
              <o:lock v:ext="edit" aspectratio="f"/>
              <v:shapetype id="_x0000_t202" coordsize="21600,21600" o:spt="202" path="m,l,21600r21600,l21600,xe">
                <v:stroke joinstyle="miter"/>
                <v:path gradientshapeok="t" o:connecttype="rect"/>
              </v:shapetype>
              <v:shape id="文本框 73" o:spid="_x0000_s2050" type="#_x0000_t202" style="width:645;height:16815;left:23111;position:absolute;top:5" coordsize="21600,21600" filled="t" fillcolor="white" stroked="t" strokecolor="black">
                <v:stroke joinstyle="miter"/>
                <o:lock v:ext="edit" aspectratio="f"/>
                <v:textbox style="layout-flow:vertical">
                  <w:txbxContent>
                    <w:p w14:paraId="5BFAC388">
                      <w:pPr>
                        <w:rPr>
                          <w:spacing w:val="13"/>
                        </w:rPr>
                      </w:pPr>
                      <w:r>
                        <w:rPr>
                          <w:rFonts w:hint="eastAsia"/>
                          <w:spacing w:val="13"/>
                        </w:rPr>
                        <w:t>………………○………………外………………○………………装………………○………………订………………○………………</w:t>
                      </w:r>
                      <w:r>
                        <w:rPr>
                          <w:spacing w:val="13"/>
                        </w:rPr>
                        <w:t>线</w:t>
                      </w:r>
                      <w:r>
                        <w:rPr>
                          <w:rFonts w:hint="eastAsia"/>
                          <w:spacing w:val="13"/>
                        </w:rPr>
                        <w:t>………………○………………</w:t>
                      </w:r>
                    </w:p>
                  </w:txbxContent>
                </v:textbox>
              </v:shape>
              <v:shape id="文本框 76" o:spid="_x0000_s2051" type="#_x0000_t202" style="width:645;height:1110;left:22466;position:absolute;top:5" coordsize="21600,21600" filled="t" fillcolor="#5a5a5a" stroked="t" strokecolor="black">
                <v:stroke joinstyle="miter"/>
                <o:lock v:ext="edit" aspectratio="f"/>
                <v:textbox>
                  <w:txbxContent>
                    <w:p w14:paraId="1B02EB1C"/>
                  </w:txbxContent>
                </v:textbox>
              </v:shape>
            </v:group>
          </w:pict>
        </mc:Fallback>
      </mc:AlternateContent>
    </w:r>
    <w:r>
      <mc:AlternateContent>
        <mc:Choice Requires="wpg">
          <w:drawing>
            <wp:anchor distT="0" distB="0" distL="114300" distR="114300" simplePos="0" relativeHeight="251660288" behindDoc="0" locked="0" layoutInCell="1" allowOverlap="1">
              <wp:simplePos x="0" y="0"/>
              <wp:positionH relativeFrom="column">
                <wp:posOffset>13136245</wp:posOffset>
              </wp:positionH>
              <wp:positionV relativeFrom="paragraph">
                <wp:posOffset>-203835</wp:posOffset>
              </wp:positionV>
              <wp:extent cx="409575" cy="10677525"/>
              <wp:effectExtent l="4445" t="4445" r="5080" b="5080"/>
              <wp:wrapNone/>
              <wp:docPr id="15" name="组合 79"/>
              <wp:cNvGraphicFramePr/>
              <a:graphic xmlns:a="http://schemas.openxmlformats.org/drawingml/2006/main">
                <a:graphicData uri="http://schemas.microsoft.com/office/word/2010/wordprocessingGroup">
                  <wpg:wgp xmlns:wpg="http://schemas.microsoft.com/office/word/2010/wordprocessingGroup">
                    <wpg:cNvGrpSpPr/>
                    <wpg:grpSpPr>
                      <a:xfrm>
                        <a:off x="0" y="0"/>
                        <a:ext cx="409575" cy="10677525"/>
                        <a:chOff x="21821" y="5"/>
                        <a:chExt cx="645" cy="16815"/>
                      </a:xfrm>
                    </wpg:grpSpPr>
                    <wps:wsp xmlns:wps="http://schemas.microsoft.com/office/word/2010/wordprocessingShape">
                      <wps:cNvPr id="14" name="文本框 74"/>
                      <wps:cNvSpPr txBox="1"/>
                      <wps:spPr>
                        <a:xfrm>
                          <a:off x="21821" y="5"/>
                          <a:ext cx="645" cy="16815"/>
                        </a:xfrm>
                        <a:prstGeom prst="rect">
                          <a:avLst/>
                        </a:prstGeom>
                        <a:solidFill>
                          <a:srgbClr val="FFFFFF"/>
                        </a:solidFill>
                        <a:ln w="9525">
                          <a:solidFill>
                            <a:srgbClr val="000000"/>
                          </a:solidFill>
                          <a:prstDash val="solid"/>
                          <a:miter lim="0"/>
                        </a:ln>
                      </wps:spPr>
                      <wps:txbx>
                        <w:txbxContent>
                          <w:p>
                            <w:pPr>
                              <w:rPr>
                                <w:spacing w:val="13"/>
                              </w:rPr>
                            </w:pPr>
                            <w:r>
                              <w:rPr>
                                <w:rFonts w:hint="eastAsia"/>
                                <w:spacing w:val="13"/>
                              </w:rPr>
                              <w:t>………………○………………内………………○………………装………………○………………订………………○………………</w:t>
                            </w:r>
                            <w:r>
                              <w:rPr>
                                <w:spacing w:val="13"/>
                              </w:rPr>
                              <w:t>线</w:t>
                            </w:r>
                            <w:r>
                              <w:rPr>
                                <w:rFonts w:hint="eastAsia"/>
                                <w:spacing w:val="13"/>
                              </w:rPr>
                              <w:t>………………○………………</w:t>
                            </w:r>
                          </w:p>
                        </w:txbxContent>
                      </wps:txbx>
                      <wps:bodyPr vert="vert" wrap="square" upright="1"/>
                    </wps:wsp>
                  </wpg:wgp>
                </a:graphicData>
              </a:graphic>
            </wp:anchor>
          </w:drawing>
        </mc:Choice>
        <mc:Fallback>
          <w:pict>
            <v:group id="组合 79" o:spid="_x0000_s2052" style="width:32.25pt;height:840.75pt;margin-top:-16.05pt;margin-left:1034.35pt;mso-height-relative:page;mso-width-relative:page;position:absolute;z-index:251661312" coordorigin="21821,5" coordsize="645,16815">
              <o:lock v:ext="edit" aspectratio="f"/>
              <v:shape id="文本框 74" o:spid="_x0000_s2053" type="#_x0000_t202" style="width:645;height:16815;left:21821;position:absolute;top:5" coordsize="21600,21600" filled="t" fillcolor="white" stroked="t" strokecolor="black">
                <v:stroke joinstyle="miter"/>
                <o:lock v:ext="edit" aspectratio="f"/>
                <v:textbox style="layout-flow:vertical">
                  <w:txbxContent>
                    <w:p w14:paraId="7E89F149">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mc:AlternateContent>
        <mc:Choice Requires="wpg">
          <w:drawing>
            <wp:anchor distT="0" distB="0" distL="114300" distR="114300" simplePos="0" relativeHeight="251662336" behindDoc="0" locked="0" layoutInCell="1" allowOverlap="1">
              <wp:simplePos x="0" y="0"/>
              <wp:positionH relativeFrom="column">
                <wp:posOffset>13545820</wp:posOffset>
              </wp:positionH>
              <wp:positionV relativeFrom="paragraph">
                <wp:posOffset>501015</wp:posOffset>
              </wp:positionV>
              <wp:extent cx="409575" cy="9191625"/>
              <wp:effectExtent l="4445" t="4445" r="5080" b="5080"/>
              <wp:wrapNone/>
              <wp:docPr id="17" name="组合 80"/>
              <wp:cNvGraphicFramePr/>
              <a:graphic xmlns:a="http://schemas.openxmlformats.org/drawingml/2006/main">
                <a:graphicData uri="http://schemas.microsoft.com/office/word/2010/wordprocessingGroup">
                  <wpg:wgp xmlns:wpg="http://schemas.microsoft.com/office/word/2010/wordprocessingGroup">
                    <wpg:cNvGrpSpPr/>
                    <wpg:grpSpPr>
                      <a:xfrm>
                        <a:off x="0" y="0"/>
                        <a:ext cx="409575" cy="9191625"/>
                        <a:chOff x="22466" y="1115"/>
                        <a:chExt cx="645" cy="14475"/>
                      </a:xfrm>
                    </wpg:grpSpPr>
                    <wps:wsp xmlns:wps="http://schemas.microsoft.com/office/word/2010/wordprocessingShape">
                      <wps:cNvPr id="16" name="文本框 75"/>
                      <wps:cNvSpPr txBox="1"/>
                      <wps:spPr>
                        <a:xfrm>
                          <a:off x="22466" y="1115"/>
                          <a:ext cx="645" cy="14475"/>
                        </a:xfrm>
                        <a:prstGeom prst="rect">
                          <a:avLst/>
                        </a:prstGeom>
                        <a:solidFill>
                          <a:srgbClr val="D8D8D8"/>
                        </a:solidFill>
                        <a:ln w="9525">
                          <a:solidFill>
                            <a:srgbClr val="000000"/>
                          </a:solidFill>
                          <a:prstDash val="solid"/>
                          <a:miter lim="0"/>
                        </a:ln>
                      </wps:spPr>
                      <wps:txbx>
                        <w:txbxContent>
                          <w:p>
                            <w:pPr>
                              <w:ind w:firstLine="840" w:firstLineChars="400"/>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vert="vert" wrap="square" upright="1"/>
                    </wps:wsp>
                  </wpg:wgp>
                </a:graphicData>
              </a:graphic>
            </wp:anchor>
          </w:drawing>
        </mc:Choice>
        <mc:Fallback>
          <w:pict>
            <v:group id="组合 80" o:spid="_x0000_s2054" style="width:32.25pt;height:723.75pt;margin-top:39.45pt;margin-left:1066.6pt;mso-height-relative:page;mso-width-relative:page;position:absolute;z-index:251663360" coordorigin="22466,1115" coordsize="645,14475">
              <o:lock v:ext="edit" aspectratio="f"/>
              <v:shape id="文本框 75" o:spid="_x0000_s2055" type="#_x0000_t202" style="width:645;height:14475;left:22466;position:absolute;top:1115" coordsize="21600,21600" filled="t" fillcolor="#d8d8d8" stroked="t" strokecolor="black">
                <v:stroke joinstyle="miter"/>
                <o:lock v:ext="edit" aspectratio="f"/>
                <v:textbox style="layout-flow:vertical">
                  <w:txbxContent>
                    <w:p w14:paraId="78E31DD6">
                      <w:pPr>
                        <w:ind w:firstLine="840" w:firstLineChars="400"/>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E87769E">
    <w:pPr>
      <w:jc w:val="right"/>
    </w:pPr>
    <w:r>
      <mc:AlternateContent>
        <mc:Choice Requires="wpg">
          <w:drawing>
            <wp:anchor distT="0" distB="0" distL="114300" distR="114300" simplePos="0" relativeHeight="251658240" behindDoc="0" locked="0" layoutInCell="1" allowOverlap="1">
              <wp:simplePos x="0" y="0"/>
              <wp:positionH relativeFrom="column">
                <wp:posOffset>-1582420</wp:posOffset>
              </wp:positionH>
              <wp:positionV relativeFrom="paragraph">
                <wp:posOffset>-207010</wp:posOffset>
              </wp:positionV>
              <wp:extent cx="1228725" cy="10677525"/>
              <wp:effectExtent l="4445" t="4445" r="5080" b="5080"/>
              <wp:wrapNone/>
              <wp:docPr id="12" name="组合 70"/>
              <wp:cNvGraphicFramePr/>
              <a:graphic xmlns:a="http://schemas.openxmlformats.org/drawingml/2006/main">
                <a:graphicData uri="http://schemas.microsoft.com/office/word/2010/wordprocessingGroup">
                  <wpg:wgp xmlns:wpg="http://schemas.microsoft.com/office/word/2010/wordprocessingGroup">
                    <wpg:cNvGrpSpPr/>
                    <wpg:grpSpPr>
                      <a:xfrm>
                        <a:off x="0" y="0"/>
                        <a:ext cx="1228725" cy="10677525"/>
                        <a:chOff x="60" y="30"/>
                        <a:chExt cx="1935" cy="16815"/>
                      </a:xfrm>
                    </wpg:grpSpPr>
                    <wpg:grpSp>
                      <wpg:cNvPr id="10" name="组合 69"/>
                      <wpg:cNvGrpSpPr/>
                      <wpg:grpSpPr>
                        <a:xfrm>
                          <a:off x="60" y="30"/>
                          <a:ext cx="1935" cy="16815"/>
                          <a:chOff x="60" y="30"/>
                          <a:chExt cx="1935" cy="16815"/>
                        </a:xfrm>
                      </wpg:grpSpPr>
                      <wps:wsp xmlns:wps="http://schemas.microsoft.com/office/word/2010/wordprocessingShape">
                        <wps:cNvPr id="6" name="文本框 63"/>
                        <wps:cNvSpPr txBox="1"/>
                        <wps:spPr>
                          <a:xfrm>
                            <a:off x="1350" y="30"/>
                            <a:ext cx="645" cy="16815"/>
                          </a:xfrm>
                          <a:prstGeom prst="rect">
                            <a:avLst/>
                          </a:prstGeom>
                          <a:solidFill>
                            <a:srgbClr val="FFFFFF"/>
                          </a:solidFill>
                          <a:ln w="9525">
                            <a:solidFill>
                              <a:srgbClr val="000000"/>
                            </a:solidFill>
                            <a:prstDash val="solid"/>
                            <a:miter lim="0"/>
                          </a:ln>
                        </wps:spPr>
                        <wps:txbx>
                          <w:txbxContent>
                            <w:p>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wps:txbx>
                        <wps:bodyPr vert="vert270" wrap="square" upright="1"/>
                      </wps:wsp>
                      <wps:wsp xmlns:wps="http://schemas.microsoft.com/office/word/2010/wordprocessingShape">
                        <wps:cNvPr id="7" name="文本框 64"/>
                        <wps:cNvSpPr txBox="1"/>
                        <wps:spPr>
                          <a:xfrm>
                            <a:off x="60" y="30"/>
                            <a:ext cx="645" cy="16815"/>
                          </a:xfrm>
                          <a:prstGeom prst="rect">
                            <a:avLst/>
                          </a:prstGeom>
                          <a:solidFill>
                            <a:srgbClr val="FFFFFF"/>
                          </a:solidFill>
                          <a:ln w="9525">
                            <a:solidFill>
                              <a:srgbClr val="000000"/>
                            </a:solidFill>
                            <a:prstDash val="solid"/>
                            <a:miter lim="0"/>
                          </a:ln>
                        </wps:spPr>
                        <wps:txbx>
                          <w:txbxContent>
                            <w:p>
                              <w:pPr>
                                <w:rPr>
                                  <w:spacing w:val="13"/>
                                </w:rPr>
                              </w:pPr>
                              <w:r>
                                <w:rPr>
                                  <w:rFonts w:hint="eastAsia"/>
                                  <w:spacing w:val="13"/>
                                </w:rPr>
                                <w:t>………………○………………外………………○………………装………………○………………订………………○………………</w:t>
                              </w:r>
                              <w:r>
                                <w:rPr>
                                  <w:spacing w:val="13"/>
                                </w:rPr>
                                <w:t>线</w:t>
                              </w:r>
                              <w:r>
                                <w:rPr>
                                  <w:rFonts w:hint="eastAsia"/>
                                  <w:spacing w:val="13"/>
                                </w:rPr>
                                <w:t>………………○………………</w:t>
                              </w:r>
                            </w:p>
                          </w:txbxContent>
                        </wps:txbx>
                        <wps:bodyPr vert="vert270" wrap="square" upright="1"/>
                      </wps:wsp>
                      <wps:wsp xmlns:wps="http://schemas.microsoft.com/office/word/2010/wordprocessingShape">
                        <wps:cNvPr id="8" name="文本框 65"/>
                        <wps:cNvSpPr txBox="1"/>
                        <wps:spPr>
                          <a:xfrm>
                            <a:off x="705" y="1140"/>
                            <a:ext cx="645" cy="14475"/>
                          </a:xfrm>
                          <a:prstGeom prst="rect">
                            <a:avLst/>
                          </a:prstGeom>
                          <a:solidFill>
                            <a:srgbClr val="D8D8D8"/>
                          </a:solidFill>
                          <a:ln w="9525">
                            <a:solidFill>
                              <a:srgbClr val="000000"/>
                            </a:solidFill>
                            <a:prstDash val="solid"/>
                            <a:miter lim="0"/>
                          </a:ln>
                        </wps:spPr>
                        <wps:txbx>
                          <w:txbxContent>
                            <w:p>
                              <w:pPr>
                                <w:rPr>
                                  <w:rFonts w:ascii="Times New Roman" w:hAnsi="Times New Roman"/>
                                  <w:spacing w:val="13"/>
                                </w:rPr>
                              </w:pPr>
                              <w:r>
                                <w:rPr>
                                  <w:rFonts w:ascii="Times New Roman" w:hAnsi="Times New Roman"/>
                                  <w:spacing w:val="13"/>
                                </w:rPr>
                                <w:t>…             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wps:txbx>
                        <wps:bodyPr vert="vert270" wrap="square" upright="1"/>
                      </wps:wsp>
                      <wps:wsp xmlns:wps="http://schemas.microsoft.com/office/word/2010/wordprocessingShape">
                        <wps:cNvPr id="9" name="文本框 67"/>
                        <wps:cNvSpPr txBox="1"/>
                        <wps:spPr>
                          <a:xfrm>
                            <a:off x="705" y="30"/>
                            <a:ext cx="645" cy="1110"/>
                          </a:xfrm>
                          <a:prstGeom prst="rect">
                            <a:avLst/>
                          </a:prstGeom>
                          <a:solidFill>
                            <a:srgbClr val="5A5A5A"/>
                          </a:solidFill>
                          <a:ln w="9525">
                            <a:solidFill>
                              <a:srgbClr val="000000"/>
                            </a:solidFill>
                            <a:prstDash val="solid"/>
                            <a:miter lim="0"/>
                          </a:ln>
                        </wps:spPr>
                        <wps:txbx>
                          <w:txbxContent>
                            <w:p/>
                          </w:txbxContent>
                        </wps:txbx>
                        <wps:bodyPr wrap="square" upright="1"/>
                      </wps:wsp>
                    </wpg:grpSp>
                    <wps:wsp xmlns:wps="http://schemas.microsoft.com/office/word/2010/wordprocessingShape">
                      <wps:cNvPr id="11" name="文本框 68"/>
                      <wps:cNvSpPr txBox="1"/>
                      <wps:spPr>
                        <a:xfrm>
                          <a:off x="705" y="15630"/>
                          <a:ext cx="645" cy="1215"/>
                        </a:xfrm>
                        <a:prstGeom prst="rect">
                          <a:avLst/>
                        </a:prstGeom>
                        <a:solidFill>
                          <a:srgbClr val="5A5A5A"/>
                        </a:solidFill>
                        <a:ln w="9525">
                          <a:solidFill>
                            <a:srgbClr val="000000"/>
                          </a:solidFill>
                          <a:prstDash val="solid"/>
                          <a:miter lim="0"/>
                        </a:ln>
                      </wps:spPr>
                      <wps:txbx>
                        <w:txbxContent>
                          <w:p/>
                        </w:txbxContent>
                      </wps:txbx>
                      <wps:bodyPr wrap="square" upright="1"/>
                    </wps:wsp>
                  </wpg:wgp>
                </a:graphicData>
              </a:graphic>
            </wp:anchor>
          </w:drawing>
        </mc:Choice>
        <mc:Fallback>
          <w:pict>
            <v:group id="组合 70" o:spid="_x0000_s2056" style="width:96.75pt;height:840.75pt;margin-top:-16.3pt;margin-left:-124.6pt;mso-height-relative:page;mso-width-relative:page;position:absolute;z-index:251659264" coordorigin="60,30" coordsize="1935,16815">
              <o:lock v:ext="edit" aspectratio="f"/>
              <v:group id="组合 69" o:spid="_x0000_s2057" style="width:1935;height:16815;left:60;position:absolute;top:30" coordorigin="60,30" coordsize="1935,16815">
                <o:lock v:ext="edit" aspectratio="f"/>
                <v:shapetype id="_x0000_t202" coordsize="21600,21600" o:spt="202" path="m,l,21600r21600,l21600,xe">
                  <v:stroke joinstyle="miter"/>
                  <v:path gradientshapeok="t" o:connecttype="rect"/>
                </v:shapetype>
                <v:shape id="文本框 63" o:spid="_x0000_s2058" type="#_x0000_t202" style="width:645;height:16815;left:1350;position:absolute;top:30" coordsize="21600,21600" filled="t" fillcolor="white" stroked="t" strokecolor="black">
                  <v:stroke joinstyle="miter"/>
                  <o:lock v:ext="edit" aspectratio="f"/>
                  <v:textbox style="layout-flow:vertical;mso-layout-flow-alt:bottom-to-top">
                    <w:txbxContent>
                      <w:p w14:paraId="27733646">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2059" type="#_x0000_t202" style="width:645;height:16815;left:60;position:absolute;top:30" coordsize="21600,21600" filled="t" fillcolor="white" stroked="t" strokecolor="black">
                  <v:stroke joinstyle="miter"/>
                  <o:lock v:ext="edit" aspectratio="f"/>
                  <v:textbox style="layout-flow:vertical;mso-layout-flow-alt:bottom-to-top">
                    <w:txbxContent>
                      <w:p w14:paraId="58F185F4">
                        <w:pPr>
                          <w:rPr>
                            <w:spacing w:val="13"/>
                          </w:rPr>
                        </w:pPr>
                        <w:r>
                          <w:rPr>
                            <w:rFonts w:hint="eastAsia"/>
                            <w:spacing w:val="13"/>
                          </w:rPr>
                          <w:t>………………○………………外………………○………………装………………○………………订………………○………………</w:t>
                        </w:r>
                        <w:r>
                          <w:rPr>
                            <w:spacing w:val="13"/>
                          </w:rPr>
                          <w:t>线</w:t>
                        </w:r>
                        <w:r>
                          <w:rPr>
                            <w:rFonts w:hint="eastAsia"/>
                            <w:spacing w:val="13"/>
                          </w:rPr>
                          <w:t>………………○………………</w:t>
                        </w:r>
                      </w:p>
                    </w:txbxContent>
                  </v:textbox>
                </v:shape>
                <v:shape id="文本框 65" o:spid="_x0000_s2060" type="#_x0000_t202" style="width:645;height:14475;left:705;position:absolute;top:1140" coordsize="21600,21600" filled="t" fillcolor="#d8d8d8" stroked="t" strokecolor="black">
                  <v:stroke joinstyle="miter"/>
                  <o:lock v:ext="edit" aspectratio="f"/>
                  <v:textbox style="layout-flow:vertical;mso-layout-flow-alt:bottom-to-top">
                    <w:txbxContent>
                      <w:p w14:paraId="3824F3FA">
                        <w:pPr>
                          <w:rPr>
                            <w:rFonts w:ascii="Times New Roman" w:hAnsi="Times New Roman"/>
                            <w:spacing w:val="13"/>
                          </w:rPr>
                        </w:pPr>
                        <w:r>
                          <w:rPr>
                            <w:rFonts w:ascii="Times New Roman" w:hAnsi="Times New Roman"/>
                            <w:spacing w:val="13"/>
                          </w:rPr>
                          <w:t>…             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2061" type="#_x0000_t202" style="width:645;height:1110;left:705;position:absolute;top:30" coordsize="21600,21600" filled="t" fillcolor="#5a5a5a" stroked="t" strokecolor="black">
                  <v:stroke joinstyle="miter"/>
                  <o:lock v:ext="edit" aspectratio="f"/>
                  <v:textbox>
                    <w:txbxContent>
                      <w:p w14:paraId="36628F47"/>
                    </w:txbxContent>
                  </v:textbox>
                </v:shape>
              </v:group>
              <v:shape id="文本框 68" o:spid="_x0000_s2062" type="#_x0000_t202" style="width:645;height:1215;left:705;position:absolute;top:15630" coordsize="21600,21600" filled="t" fillcolor="#5a5a5a" stroked="t" strokecolor="black">
                <v:stroke joinstyle="miter"/>
                <o:lock v:ext="edit" aspectratio="f"/>
                <v:textbox>
                  <w:txbxContent>
                    <w:p w14:paraId="6DD71CAE"/>
                  </w:txbxContent>
                </v:textbox>
              </v:shape>
            </v:group>
          </w:pict>
        </mc:Fallback>
      </mc:AlternateContent>
    </w:r>
    <w:r>
      <w:tab/>
    </w:r>
    <w:r>
      <w:tab/>
    </w:r>
    <w:r>
      <w:tab/>
    </w:r>
    <w:r>
      <w:drawing>
        <wp:inline distT="0" distB="0" distL="114300" distR="114300">
          <wp:extent cx="2076450" cy="184150"/>
          <wp:effectExtent l="0" t="0" r="0" b="6350"/>
          <wp:docPr id="22" name="图片 23" descr="学易金卷-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3" descr="学易金卷-A3"/>
                  <pic:cNvPicPr>
                    <a:picLocks noChangeAspect="1"/>
                  </pic:cNvPicPr>
                </pic:nvPicPr>
                <pic:blipFill>
                  <a:blip xmlns:r="http://schemas.openxmlformats.org/officeDocument/2006/relationships" r:embed="rId1"/>
                  <a:stretch>
                    <a:fillRect/>
                  </a:stretch>
                </pic:blipFill>
                <pic:spPr>
                  <a:xfrm>
                    <a:off x="0" y="0"/>
                    <a:ext cx="2076450" cy="184150"/>
                  </a:xfrm>
                  <a:prstGeom prst="rect">
                    <a:avLst/>
                  </a:prstGeom>
                  <a:noFill/>
                  <a:ln>
                    <a:noFill/>
                  </a:ln>
                </pic:spPr>
              </pic:pic>
            </a:graphicData>
          </a:graphic>
        </wp:inline>
      </w:drawing>
    </w:r>
  </w:p>
  <w:p w14:paraId="22E1CF0D">
    <w:pPr>
      <w:pBdr>
        <w:bottom w:val="none" w:sz="0" w:space="1" w:color="auto"/>
      </w:pBdr>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63" type="#_x0000_t75" alt="学科网 zxxk.com" style="width:0.75pt;height:0.75pt;margin-top:8.45pt;margin-left:351pt;mso-height-relative:page;mso-width-relative:page;position:absolute;z-index:251666432"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64"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hAnsi="Times New Roman"/>
        <w:kern w:val="0"/>
        <w:sz w:val="2"/>
        <w:szCs w:val="2"/>
      </w:rPr>
    </w:pPr>
    <w:r>
      <w:pict>
        <v:shape id="图片 4" o:spid="_x0000_s2065" type="#_x0000_t75" alt="学科网 zxxk.com" style="width:0.75pt;height:0.75pt;margin-top:8.45pt;margin-left:351pt;position:absolute;z-index:251667456" filled="f" stroked="f">
          <v:imagedata r:id="rId3" r:href="rId4" o:title=""/>
          <v:path o:extrusionok="f"/>
          <o:lock v:ext="edit" aspectratio="t"/>
        </v:shape>
      </w:pict>
    </w:r>
    <w:r>
      <w:rPr>
        <w:rFonts w:hint="eastAsia"/>
        <w:color w:val="FFFFFF"/>
        <w:sz w:val="2"/>
        <w:szCs w:val="2"/>
      </w:rPr>
      <w:pict>
        <v:shape id="_x0000_i2066"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6D32EA8"/>
    <w:multiLevelType w:val="singleLevel"/>
    <w:tmpl w:val="E6D32EA8"/>
    <w:lvl w:ilvl="0">
      <w:start w:val="3"/>
      <w:numFmt w:val="decimal"/>
      <w:suff w:val="nothing"/>
      <w:lvlText w:val="%1．"/>
      <w:lvlJc w:val="left"/>
    </w:lvl>
  </w:abstractNum>
  <w:abstractNum w:abstractNumId="1">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nsid w:val="FFFFFF7F"/>
    <w:multiLevelType w:val="singleLevel"/>
    <w:tmpl w:val="FFFFFF7F"/>
    <w:lvl w:ilvl="0">
      <w:start w:val="1"/>
      <w:numFmt w:val="decimal"/>
      <w:pStyle w:val="ListNumber2"/>
      <w:lvlText w:val="%1."/>
      <w:lvlJc w:val="left"/>
      <w:pPr>
        <w:tabs>
          <w:tab w:val="left" w:pos="780"/>
        </w:tabs>
        <w:ind w:left="780" w:hanging="360"/>
      </w:pPr>
    </w:lvl>
  </w:abstractNum>
  <w:abstractNum w:abstractNumId="5">
    <w:nsid w:val="FFFFFF80"/>
    <w:multiLevelType w:val="singleLevel"/>
    <w:tmpl w:val="FFFFFF80"/>
    <w:lvl w:ilvl="0">
      <w:start w:val="1"/>
      <w:numFmt w:val="bullet"/>
      <w:pStyle w:val="ListBullet5"/>
      <w:lvlText w:val=""/>
      <w:lvlJc w:val="left"/>
      <w:pPr>
        <w:tabs>
          <w:tab w:val="left" w:pos="2040"/>
        </w:tabs>
        <w:ind w:left="2040" w:hanging="360"/>
      </w:pPr>
      <w:rPr>
        <w:rFonts w:ascii="Wingdings" w:hAnsi="Wingdings" w:hint="default"/>
      </w:rPr>
    </w:lvl>
  </w:abstractNum>
  <w:abstractNum w:abstractNumId="6">
    <w:nsid w:val="FFFFFF81"/>
    <w:multiLevelType w:val="singleLevel"/>
    <w:tmpl w:val="FFFFFF81"/>
    <w:lvl w:ilvl="0">
      <w:start w:val="1"/>
      <w:numFmt w:val="bullet"/>
      <w:pStyle w:val="ListBullet4"/>
      <w:lvlText w:val=""/>
      <w:lvlJc w:val="left"/>
      <w:pPr>
        <w:tabs>
          <w:tab w:val="left" w:pos="1620"/>
        </w:tabs>
        <w:ind w:left="1620" w:hanging="360"/>
      </w:pPr>
      <w:rPr>
        <w:rFonts w:ascii="Wingdings" w:hAnsi="Wingdings" w:hint="default"/>
      </w:rPr>
    </w:lvl>
  </w:abstractNum>
  <w:abstractNum w:abstractNumId="7">
    <w:nsid w:val="FFFFFF82"/>
    <w:multiLevelType w:val="singleLevel"/>
    <w:tmpl w:val="FFFFFF82"/>
    <w:lvl w:ilvl="0">
      <w:start w:val="1"/>
      <w:numFmt w:val="bullet"/>
      <w:pStyle w:val="ListBullet3"/>
      <w:lvlText w:val=""/>
      <w:lvlJc w:val="left"/>
      <w:pPr>
        <w:tabs>
          <w:tab w:val="left" w:pos="1200"/>
        </w:tabs>
        <w:ind w:left="1200" w:hanging="360"/>
      </w:pPr>
      <w:rPr>
        <w:rFonts w:ascii="Wingdings" w:hAnsi="Wingdings" w:hint="default"/>
      </w:rPr>
    </w:lvl>
  </w:abstractNum>
  <w:abstractNum w:abstractNumId="8">
    <w:nsid w:val="FFFFFF83"/>
    <w:multiLevelType w:val="singleLevel"/>
    <w:tmpl w:val="FFFFFF83"/>
    <w:lvl w:ilvl="0">
      <w:start w:val="1"/>
      <w:numFmt w:val="bullet"/>
      <w:pStyle w:val="ListBullet2"/>
      <w:lvlText w:val=""/>
      <w:lvlJc w:val="left"/>
      <w:pPr>
        <w:tabs>
          <w:tab w:val="left" w:pos="780"/>
        </w:tabs>
        <w:ind w:left="780" w:hanging="360"/>
      </w:pPr>
      <w:rPr>
        <w:rFonts w:ascii="Wingdings" w:hAnsi="Wingdings" w:hint="default"/>
      </w:rPr>
    </w:lvl>
  </w:abstractNum>
  <w:abstractNum w:abstractNumId="9">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nsid w:val="FFFFFF89"/>
    <w:multiLevelType w:val="singleLevel"/>
    <w:tmpl w:val="FFFFFF89"/>
    <w:lvl w:ilvl="0">
      <w:start w:val="1"/>
      <w:numFmt w:val="bullet"/>
      <w:pStyle w:val="ListBullet"/>
      <w:lvlText w:val=""/>
      <w:lvlJc w:val="left"/>
      <w:pPr>
        <w:tabs>
          <w:tab w:val="left" w:pos="360"/>
        </w:tabs>
        <w:ind w:left="360" w:hanging="360"/>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mirrorMargins/>
  <w:bordersDoNotSurroundHeader/>
  <w:bordersDoNotSurroundFooter/>
  <w:defaultTabStop w:val="231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E42"/>
    <w:rsid w:val="00000451"/>
    <w:rsid w:val="0000125F"/>
    <w:rsid w:val="0000154A"/>
    <w:rsid w:val="0000163D"/>
    <w:rsid w:val="00002A1D"/>
    <w:rsid w:val="000042A8"/>
    <w:rsid w:val="00004BD7"/>
    <w:rsid w:val="000058DD"/>
    <w:rsid w:val="000063F2"/>
    <w:rsid w:val="000120CF"/>
    <w:rsid w:val="0001622A"/>
    <w:rsid w:val="000166EE"/>
    <w:rsid w:val="00016873"/>
    <w:rsid w:val="00023220"/>
    <w:rsid w:val="000253FC"/>
    <w:rsid w:val="000254E1"/>
    <w:rsid w:val="00030C5C"/>
    <w:rsid w:val="000315AF"/>
    <w:rsid w:val="00033092"/>
    <w:rsid w:val="000354A0"/>
    <w:rsid w:val="00037045"/>
    <w:rsid w:val="00040A7C"/>
    <w:rsid w:val="00042027"/>
    <w:rsid w:val="00043A89"/>
    <w:rsid w:val="00046A02"/>
    <w:rsid w:val="00050772"/>
    <w:rsid w:val="00050AF3"/>
    <w:rsid w:val="00052927"/>
    <w:rsid w:val="00053DD1"/>
    <w:rsid w:val="00054690"/>
    <w:rsid w:val="00054798"/>
    <w:rsid w:val="00054F56"/>
    <w:rsid w:val="000552AA"/>
    <w:rsid w:val="00062EC6"/>
    <w:rsid w:val="00063899"/>
    <w:rsid w:val="000638D4"/>
    <w:rsid w:val="00065ABA"/>
    <w:rsid w:val="00066830"/>
    <w:rsid w:val="00070431"/>
    <w:rsid w:val="00073395"/>
    <w:rsid w:val="00073D6D"/>
    <w:rsid w:val="00073F57"/>
    <w:rsid w:val="000767D9"/>
    <w:rsid w:val="0007705C"/>
    <w:rsid w:val="00083DBD"/>
    <w:rsid w:val="00086215"/>
    <w:rsid w:val="00087980"/>
    <w:rsid w:val="00092704"/>
    <w:rsid w:val="00093326"/>
    <w:rsid w:val="000935A1"/>
    <w:rsid w:val="00097048"/>
    <w:rsid w:val="000A0F7F"/>
    <w:rsid w:val="000A13AC"/>
    <w:rsid w:val="000A4B44"/>
    <w:rsid w:val="000A679A"/>
    <w:rsid w:val="000A7A68"/>
    <w:rsid w:val="000B2275"/>
    <w:rsid w:val="000B4F35"/>
    <w:rsid w:val="000B6018"/>
    <w:rsid w:val="000B6C7C"/>
    <w:rsid w:val="000C2AA7"/>
    <w:rsid w:val="000C6DEF"/>
    <w:rsid w:val="000D2ABE"/>
    <w:rsid w:val="000D630E"/>
    <w:rsid w:val="000D66D0"/>
    <w:rsid w:val="000D6FF2"/>
    <w:rsid w:val="000D70A5"/>
    <w:rsid w:val="000E0370"/>
    <w:rsid w:val="000E05AC"/>
    <w:rsid w:val="000E1DA7"/>
    <w:rsid w:val="000E4FF9"/>
    <w:rsid w:val="000E60AB"/>
    <w:rsid w:val="000E7739"/>
    <w:rsid w:val="000E7A52"/>
    <w:rsid w:val="000F2C80"/>
    <w:rsid w:val="000F555B"/>
    <w:rsid w:val="000F63DA"/>
    <w:rsid w:val="000F7AC3"/>
    <w:rsid w:val="001026E3"/>
    <w:rsid w:val="0010498F"/>
    <w:rsid w:val="00105A04"/>
    <w:rsid w:val="00111A0B"/>
    <w:rsid w:val="00112D98"/>
    <w:rsid w:val="00116A34"/>
    <w:rsid w:val="001175AD"/>
    <w:rsid w:val="00117A63"/>
    <w:rsid w:val="00123BDE"/>
    <w:rsid w:val="0012462A"/>
    <w:rsid w:val="00130740"/>
    <w:rsid w:val="0013112B"/>
    <w:rsid w:val="00133077"/>
    <w:rsid w:val="00133508"/>
    <w:rsid w:val="0013430D"/>
    <w:rsid w:val="00134334"/>
    <w:rsid w:val="0013779F"/>
    <w:rsid w:val="00137E3F"/>
    <w:rsid w:val="0014188C"/>
    <w:rsid w:val="00142502"/>
    <w:rsid w:val="00143092"/>
    <w:rsid w:val="00144CEC"/>
    <w:rsid w:val="00145671"/>
    <w:rsid w:val="0014731E"/>
    <w:rsid w:val="001475B7"/>
    <w:rsid w:val="001515B1"/>
    <w:rsid w:val="00151AF3"/>
    <w:rsid w:val="00152F66"/>
    <w:rsid w:val="001533AC"/>
    <w:rsid w:val="001559CE"/>
    <w:rsid w:val="00160CDB"/>
    <w:rsid w:val="00166B68"/>
    <w:rsid w:val="001700B1"/>
    <w:rsid w:val="001742BC"/>
    <w:rsid w:val="00175C6A"/>
    <w:rsid w:val="00177B2C"/>
    <w:rsid w:val="00182AFA"/>
    <w:rsid w:val="00183F20"/>
    <w:rsid w:val="00185344"/>
    <w:rsid w:val="00190D04"/>
    <w:rsid w:val="00194774"/>
    <w:rsid w:val="00194F72"/>
    <w:rsid w:val="00195AFE"/>
    <w:rsid w:val="00196026"/>
    <w:rsid w:val="001A0393"/>
    <w:rsid w:val="001A03E5"/>
    <w:rsid w:val="001A6899"/>
    <w:rsid w:val="001B0235"/>
    <w:rsid w:val="001B1C0B"/>
    <w:rsid w:val="001B20AC"/>
    <w:rsid w:val="001B2837"/>
    <w:rsid w:val="001B4068"/>
    <w:rsid w:val="001B48F3"/>
    <w:rsid w:val="001B4E4B"/>
    <w:rsid w:val="001B5906"/>
    <w:rsid w:val="001B5B6B"/>
    <w:rsid w:val="001B5B70"/>
    <w:rsid w:val="001B7752"/>
    <w:rsid w:val="001C2774"/>
    <w:rsid w:val="001C4B81"/>
    <w:rsid w:val="001C72B1"/>
    <w:rsid w:val="001D09A0"/>
    <w:rsid w:val="001E0D25"/>
    <w:rsid w:val="001E165B"/>
    <w:rsid w:val="001E17F7"/>
    <w:rsid w:val="001E29B6"/>
    <w:rsid w:val="001E4B29"/>
    <w:rsid w:val="001E505A"/>
    <w:rsid w:val="001E6969"/>
    <w:rsid w:val="001F0536"/>
    <w:rsid w:val="001F10D4"/>
    <w:rsid w:val="001F5CBE"/>
    <w:rsid w:val="001F6C12"/>
    <w:rsid w:val="001F7B25"/>
    <w:rsid w:val="00201D18"/>
    <w:rsid w:val="002034E8"/>
    <w:rsid w:val="00206717"/>
    <w:rsid w:val="00207590"/>
    <w:rsid w:val="002119FE"/>
    <w:rsid w:val="002128A0"/>
    <w:rsid w:val="002137C8"/>
    <w:rsid w:val="002161F7"/>
    <w:rsid w:val="00217036"/>
    <w:rsid w:val="00217256"/>
    <w:rsid w:val="0021747D"/>
    <w:rsid w:val="002202F0"/>
    <w:rsid w:val="00220CB3"/>
    <w:rsid w:val="002303B4"/>
    <w:rsid w:val="002315C6"/>
    <w:rsid w:val="00236004"/>
    <w:rsid w:val="0023700A"/>
    <w:rsid w:val="002407A5"/>
    <w:rsid w:val="002418FB"/>
    <w:rsid w:val="00242236"/>
    <w:rsid w:val="00242C46"/>
    <w:rsid w:val="00243CED"/>
    <w:rsid w:val="0024618F"/>
    <w:rsid w:val="0025123B"/>
    <w:rsid w:val="00252604"/>
    <w:rsid w:val="002527EC"/>
    <w:rsid w:val="00252DFA"/>
    <w:rsid w:val="0025354A"/>
    <w:rsid w:val="0025356D"/>
    <w:rsid w:val="0026001A"/>
    <w:rsid w:val="002620A9"/>
    <w:rsid w:val="00263C6A"/>
    <w:rsid w:val="00270F65"/>
    <w:rsid w:val="00271D5E"/>
    <w:rsid w:val="0027208C"/>
    <w:rsid w:val="002730FA"/>
    <w:rsid w:val="002746A4"/>
    <w:rsid w:val="0027546C"/>
    <w:rsid w:val="0027755A"/>
    <w:rsid w:val="002821EF"/>
    <w:rsid w:val="00283E22"/>
    <w:rsid w:val="00286A61"/>
    <w:rsid w:val="002875EB"/>
    <w:rsid w:val="00290BD6"/>
    <w:rsid w:val="00292D29"/>
    <w:rsid w:val="0029379F"/>
    <w:rsid w:val="00294023"/>
    <w:rsid w:val="00295522"/>
    <w:rsid w:val="00296276"/>
    <w:rsid w:val="002A5B65"/>
    <w:rsid w:val="002B14BF"/>
    <w:rsid w:val="002B46AB"/>
    <w:rsid w:val="002B4EF1"/>
    <w:rsid w:val="002C115B"/>
    <w:rsid w:val="002C28B8"/>
    <w:rsid w:val="002C2E88"/>
    <w:rsid w:val="002C45C3"/>
    <w:rsid w:val="002C4B55"/>
    <w:rsid w:val="002C4D1B"/>
    <w:rsid w:val="002C4E96"/>
    <w:rsid w:val="002C6021"/>
    <w:rsid w:val="002C715D"/>
    <w:rsid w:val="002D2228"/>
    <w:rsid w:val="002D38A2"/>
    <w:rsid w:val="002D3F3E"/>
    <w:rsid w:val="002D5335"/>
    <w:rsid w:val="002D63D5"/>
    <w:rsid w:val="002E00D5"/>
    <w:rsid w:val="002E0253"/>
    <w:rsid w:val="002E081B"/>
    <w:rsid w:val="002E1184"/>
    <w:rsid w:val="002E6714"/>
    <w:rsid w:val="002F6DA1"/>
    <w:rsid w:val="002F7B2E"/>
    <w:rsid w:val="00301066"/>
    <w:rsid w:val="00301254"/>
    <w:rsid w:val="00305D7D"/>
    <w:rsid w:val="003152CF"/>
    <w:rsid w:val="00321C9C"/>
    <w:rsid w:val="003224DC"/>
    <w:rsid w:val="003249AB"/>
    <w:rsid w:val="00330F09"/>
    <w:rsid w:val="003315E0"/>
    <w:rsid w:val="003333C7"/>
    <w:rsid w:val="00334809"/>
    <w:rsid w:val="00334A2C"/>
    <w:rsid w:val="00334B6B"/>
    <w:rsid w:val="0033510E"/>
    <w:rsid w:val="00336CD5"/>
    <w:rsid w:val="0033778D"/>
    <w:rsid w:val="0034177D"/>
    <w:rsid w:val="00341BBA"/>
    <w:rsid w:val="00341FB1"/>
    <w:rsid w:val="003463D9"/>
    <w:rsid w:val="0034683A"/>
    <w:rsid w:val="00347182"/>
    <w:rsid w:val="0035016A"/>
    <w:rsid w:val="00351054"/>
    <w:rsid w:val="00355495"/>
    <w:rsid w:val="00355D57"/>
    <w:rsid w:val="00357ECE"/>
    <w:rsid w:val="00361682"/>
    <w:rsid w:val="0036392A"/>
    <w:rsid w:val="00366E9E"/>
    <w:rsid w:val="00370659"/>
    <w:rsid w:val="00375ECF"/>
    <w:rsid w:val="00376B88"/>
    <w:rsid w:val="00383A17"/>
    <w:rsid w:val="0038637E"/>
    <w:rsid w:val="0039186E"/>
    <w:rsid w:val="00392152"/>
    <w:rsid w:val="003B3B99"/>
    <w:rsid w:val="003B3E91"/>
    <w:rsid w:val="003B4EF8"/>
    <w:rsid w:val="003B525E"/>
    <w:rsid w:val="003B5BB5"/>
    <w:rsid w:val="003B6848"/>
    <w:rsid w:val="003B6983"/>
    <w:rsid w:val="003C365B"/>
    <w:rsid w:val="003C463B"/>
    <w:rsid w:val="003C5080"/>
    <w:rsid w:val="003C5A5F"/>
    <w:rsid w:val="003C5CFE"/>
    <w:rsid w:val="003D1162"/>
    <w:rsid w:val="003D4378"/>
    <w:rsid w:val="003D5353"/>
    <w:rsid w:val="003E19FD"/>
    <w:rsid w:val="003E252C"/>
    <w:rsid w:val="003E46BD"/>
    <w:rsid w:val="003E6B41"/>
    <w:rsid w:val="003E6D96"/>
    <w:rsid w:val="003F0920"/>
    <w:rsid w:val="003F23FD"/>
    <w:rsid w:val="003F3203"/>
    <w:rsid w:val="003F4116"/>
    <w:rsid w:val="003F4F1B"/>
    <w:rsid w:val="003F549E"/>
    <w:rsid w:val="003F7544"/>
    <w:rsid w:val="00400480"/>
    <w:rsid w:val="0040225A"/>
    <w:rsid w:val="00410877"/>
    <w:rsid w:val="004114FA"/>
    <w:rsid w:val="00411937"/>
    <w:rsid w:val="00412CBC"/>
    <w:rsid w:val="0041394D"/>
    <w:rsid w:val="00414A46"/>
    <w:rsid w:val="004151FC"/>
    <w:rsid w:val="00415943"/>
    <w:rsid w:val="004179A1"/>
    <w:rsid w:val="00422542"/>
    <w:rsid w:val="00422A86"/>
    <w:rsid w:val="0042668F"/>
    <w:rsid w:val="00427CBE"/>
    <w:rsid w:val="004300C5"/>
    <w:rsid w:val="00431AF0"/>
    <w:rsid w:val="00435AB4"/>
    <w:rsid w:val="00436FD3"/>
    <w:rsid w:val="004373CF"/>
    <w:rsid w:val="00437F0F"/>
    <w:rsid w:val="004413A7"/>
    <w:rsid w:val="004433E0"/>
    <w:rsid w:val="00444C99"/>
    <w:rsid w:val="00447010"/>
    <w:rsid w:val="00450BD2"/>
    <w:rsid w:val="0045236B"/>
    <w:rsid w:val="004556AD"/>
    <w:rsid w:val="00456ADC"/>
    <w:rsid w:val="00457221"/>
    <w:rsid w:val="004572D0"/>
    <w:rsid w:val="00457E96"/>
    <w:rsid w:val="00467932"/>
    <w:rsid w:val="004702F0"/>
    <w:rsid w:val="00470D20"/>
    <w:rsid w:val="004710CB"/>
    <w:rsid w:val="004717B1"/>
    <w:rsid w:val="00471BC0"/>
    <w:rsid w:val="00471FCB"/>
    <w:rsid w:val="00472731"/>
    <w:rsid w:val="00472D69"/>
    <w:rsid w:val="00476EA5"/>
    <w:rsid w:val="004771DB"/>
    <w:rsid w:val="004774A7"/>
    <w:rsid w:val="00481D5E"/>
    <w:rsid w:val="00482145"/>
    <w:rsid w:val="0048270F"/>
    <w:rsid w:val="004828B6"/>
    <w:rsid w:val="004834FF"/>
    <w:rsid w:val="00484AD7"/>
    <w:rsid w:val="0048602E"/>
    <w:rsid w:val="0049080A"/>
    <w:rsid w:val="00493BA9"/>
    <w:rsid w:val="004946C8"/>
    <w:rsid w:val="00495F3D"/>
    <w:rsid w:val="004A0552"/>
    <w:rsid w:val="004A3E39"/>
    <w:rsid w:val="004A4F25"/>
    <w:rsid w:val="004B16C3"/>
    <w:rsid w:val="004B3B08"/>
    <w:rsid w:val="004B49BC"/>
    <w:rsid w:val="004B4BA7"/>
    <w:rsid w:val="004B5911"/>
    <w:rsid w:val="004B6372"/>
    <w:rsid w:val="004B652F"/>
    <w:rsid w:val="004C0B3A"/>
    <w:rsid w:val="004C3204"/>
    <w:rsid w:val="004C4CFF"/>
    <w:rsid w:val="004C56C9"/>
    <w:rsid w:val="004C5E29"/>
    <w:rsid w:val="004C6286"/>
    <w:rsid w:val="004C69D0"/>
    <w:rsid w:val="004D1A38"/>
    <w:rsid w:val="004D1D0C"/>
    <w:rsid w:val="004D3895"/>
    <w:rsid w:val="004D3E31"/>
    <w:rsid w:val="004D475E"/>
    <w:rsid w:val="004D57EF"/>
    <w:rsid w:val="004D6F40"/>
    <w:rsid w:val="004E48CC"/>
    <w:rsid w:val="004E4DDE"/>
    <w:rsid w:val="004E5293"/>
    <w:rsid w:val="004E5863"/>
    <w:rsid w:val="004E6418"/>
    <w:rsid w:val="004E75BC"/>
    <w:rsid w:val="004F420C"/>
    <w:rsid w:val="004F6A9F"/>
    <w:rsid w:val="005002CF"/>
    <w:rsid w:val="005020B1"/>
    <w:rsid w:val="005028CE"/>
    <w:rsid w:val="00505315"/>
    <w:rsid w:val="00505CE1"/>
    <w:rsid w:val="005079D2"/>
    <w:rsid w:val="00510E54"/>
    <w:rsid w:val="005135E3"/>
    <w:rsid w:val="005139DF"/>
    <w:rsid w:val="00514CA0"/>
    <w:rsid w:val="00514E88"/>
    <w:rsid w:val="005154E3"/>
    <w:rsid w:val="00515A2C"/>
    <w:rsid w:val="00516894"/>
    <w:rsid w:val="00516D52"/>
    <w:rsid w:val="005202BC"/>
    <w:rsid w:val="00520AB1"/>
    <w:rsid w:val="00521D8E"/>
    <w:rsid w:val="00523AA3"/>
    <w:rsid w:val="00523B19"/>
    <w:rsid w:val="005269ED"/>
    <w:rsid w:val="005308E3"/>
    <w:rsid w:val="0053224B"/>
    <w:rsid w:val="00540342"/>
    <w:rsid w:val="00542BF1"/>
    <w:rsid w:val="00543C12"/>
    <w:rsid w:val="00544A8B"/>
    <w:rsid w:val="00551040"/>
    <w:rsid w:val="005529D2"/>
    <w:rsid w:val="005538C6"/>
    <w:rsid w:val="005552C4"/>
    <w:rsid w:val="0055613F"/>
    <w:rsid w:val="00556607"/>
    <w:rsid w:val="005608DD"/>
    <w:rsid w:val="0056172C"/>
    <w:rsid w:val="005620CA"/>
    <w:rsid w:val="0056214D"/>
    <w:rsid w:val="00562F19"/>
    <w:rsid w:val="00563A12"/>
    <w:rsid w:val="00564545"/>
    <w:rsid w:val="0056460E"/>
    <w:rsid w:val="00567830"/>
    <w:rsid w:val="00570B81"/>
    <w:rsid w:val="00572D5B"/>
    <w:rsid w:val="00576E15"/>
    <w:rsid w:val="00582027"/>
    <w:rsid w:val="00582F89"/>
    <w:rsid w:val="0058353C"/>
    <w:rsid w:val="00583FA0"/>
    <w:rsid w:val="005917D8"/>
    <w:rsid w:val="00593194"/>
    <w:rsid w:val="00594903"/>
    <w:rsid w:val="00595BD1"/>
    <w:rsid w:val="00595D2F"/>
    <w:rsid w:val="00595ECD"/>
    <w:rsid w:val="0059685F"/>
    <w:rsid w:val="005A568D"/>
    <w:rsid w:val="005A5726"/>
    <w:rsid w:val="005A6165"/>
    <w:rsid w:val="005A66FA"/>
    <w:rsid w:val="005A71F8"/>
    <w:rsid w:val="005B05A3"/>
    <w:rsid w:val="005B1E71"/>
    <w:rsid w:val="005B3C2A"/>
    <w:rsid w:val="005B4D0A"/>
    <w:rsid w:val="005B6CD4"/>
    <w:rsid w:val="005C3D4A"/>
    <w:rsid w:val="005C4023"/>
    <w:rsid w:val="005C4CE6"/>
    <w:rsid w:val="005D1037"/>
    <w:rsid w:val="005D2978"/>
    <w:rsid w:val="005D5AFF"/>
    <w:rsid w:val="005D6978"/>
    <w:rsid w:val="005D7CD8"/>
    <w:rsid w:val="005E2457"/>
    <w:rsid w:val="005E27F6"/>
    <w:rsid w:val="005E4474"/>
    <w:rsid w:val="005E5347"/>
    <w:rsid w:val="005E6898"/>
    <w:rsid w:val="005F0CA4"/>
    <w:rsid w:val="005F0EEF"/>
    <w:rsid w:val="005F4A2B"/>
    <w:rsid w:val="005F4D2B"/>
    <w:rsid w:val="005F5F5F"/>
    <w:rsid w:val="00600DC9"/>
    <w:rsid w:val="00602471"/>
    <w:rsid w:val="00604A47"/>
    <w:rsid w:val="00605698"/>
    <w:rsid w:val="00605D8F"/>
    <w:rsid w:val="006069E3"/>
    <w:rsid w:val="006074B4"/>
    <w:rsid w:val="00607C72"/>
    <w:rsid w:val="0061117E"/>
    <w:rsid w:val="00611F69"/>
    <w:rsid w:val="00612B60"/>
    <w:rsid w:val="006149E0"/>
    <w:rsid w:val="00616C2B"/>
    <w:rsid w:val="00617771"/>
    <w:rsid w:val="00620387"/>
    <w:rsid w:val="006236A9"/>
    <w:rsid w:val="006279E2"/>
    <w:rsid w:val="00627D39"/>
    <w:rsid w:val="006351EB"/>
    <w:rsid w:val="006376E4"/>
    <w:rsid w:val="0064276A"/>
    <w:rsid w:val="00642F36"/>
    <w:rsid w:val="00645027"/>
    <w:rsid w:val="006472F6"/>
    <w:rsid w:val="00650571"/>
    <w:rsid w:val="00650FF8"/>
    <w:rsid w:val="00652140"/>
    <w:rsid w:val="00653B7B"/>
    <w:rsid w:val="00655602"/>
    <w:rsid w:val="00656527"/>
    <w:rsid w:val="006610B3"/>
    <w:rsid w:val="00661294"/>
    <w:rsid w:val="0066197B"/>
    <w:rsid w:val="00670733"/>
    <w:rsid w:val="00672513"/>
    <w:rsid w:val="0067494C"/>
    <w:rsid w:val="00674B0C"/>
    <w:rsid w:val="006757B5"/>
    <w:rsid w:val="00676AFA"/>
    <w:rsid w:val="00683D45"/>
    <w:rsid w:val="00684A1F"/>
    <w:rsid w:val="0068598F"/>
    <w:rsid w:val="00686195"/>
    <w:rsid w:val="006876D9"/>
    <w:rsid w:val="00687F96"/>
    <w:rsid w:val="006927C7"/>
    <w:rsid w:val="006930CB"/>
    <w:rsid w:val="006934B8"/>
    <w:rsid w:val="00695EFF"/>
    <w:rsid w:val="00697846"/>
    <w:rsid w:val="006A0464"/>
    <w:rsid w:val="006A56F6"/>
    <w:rsid w:val="006A5817"/>
    <w:rsid w:val="006A7BA0"/>
    <w:rsid w:val="006B5192"/>
    <w:rsid w:val="006B616D"/>
    <w:rsid w:val="006C2A2F"/>
    <w:rsid w:val="006C2CE4"/>
    <w:rsid w:val="006C5CD4"/>
    <w:rsid w:val="006C7856"/>
    <w:rsid w:val="006C7F8E"/>
    <w:rsid w:val="006D3B2D"/>
    <w:rsid w:val="006D3E5E"/>
    <w:rsid w:val="006D3E9F"/>
    <w:rsid w:val="006D62E4"/>
    <w:rsid w:val="006D7750"/>
    <w:rsid w:val="006E0143"/>
    <w:rsid w:val="006E101C"/>
    <w:rsid w:val="006E17E6"/>
    <w:rsid w:val="006E18F8"/>
    <w:rsid w:val="006E1DE1"/>
    <w:rsid w:val="006E2169"/>
    <w:rsid w:val="006E3A31"/>
    <w:rsid w:val="006E524D"/>
    <w:rsid w:val="006E6672"/>
    <w:rsid w:val="006E6855"/>
    <w:rsid w:val="006F1D6D"/>
    <w:rsid w:val="006F5D98"/>
    <w:rsid w:val="00705053"/>
    <w:rsid w:val="00706B2A"/>
    <w:rsid w:val="0070702C"/>
    <w:rsid w:val="0070770A"/>
    <w:rsid w:val="007110EB"/>
    <w:rsid w:val="00711635"/>
    <w:rsid w:val="00714A59"/>
    <w:rsid w:val="007208DA"/>
    <w:rsid w:val="00720DF8"/>
    <w:rsid w:val="00723CB4"/>
    <w:rsid w:val="00724850"/>
    <w:rsid w:val="00724B0E"/>
    <w:rsid w:val="00724E08"/>
    <w:rsid w:val="00731265"/>
    <w:rsid w:val="0073334E"/>
    <w:rsid w:val="007375C6"/>
    <w:rsid w:val="00737BC4"/>
    <w:rsid w:val="00740D04"/>
    <w:rsid w:val="007455BF"/>
    <w:rsid w:val="00746081"/>
    <w:rsid w:val="00747721"/>
    <w:rsid w:val="00747A95"/>
    <w:rsid w:val="007533A9"/>
    <w:rsid w:val="00753479"/>
    <w:rsid w:val="00756662"/>
    <w:rsid w:val="00756E70"/>
    <w:rsid w:val="007576DB"/>
    <w:rsid w:val="00765EAD"/>
    <w:rsid w:val="00766824"/>
    <w:rsid w:val="007703DB"/>
    <w:rsid w:val="00770E9C"/>
    <w:rsid w:val="00771BED"/>
    <w:rsid w:val="007720F1"/>
    <w:rsid w:val="007720F3"/>
    <w:rsid w:val="00772581"/>
    <w:rsid w:val="00775015"/>
    <w:rsid w:val="00776939"/>
    <w:rsid w:val="007775D3"/>
    <w:rsid w:val="00777B57"/>
    <w:rsid w:val="00777DA7"/>
    <w:rsid w:val="00780A22"/>
    <w:rsid w:val="0078269A"/>
    <w:rsid w:val="007841C6"/>
    <w:rsid w:val="00785154"/>
    <w:rsid w:val="007874C0"/>
    <w:rsid w:val="00787C6A"/>
    <w:rsid w:val="00791D0A"/>
    <w:rsid w:val="00793203"/>
    <w:rsid w:val="007947D6"/>
    <w:rsid w:val="007967F0"/>
    <w:rsid w:val="007A0467"/>
    <w:rsid w:val="007A1324"/>
    <w:rsid w:val="007A3058"/>
    <w:rsid w:val="007A3ED0"/>
    <w:rsid w:val="007A5B90"/>
    <w:rsid w:val="007A5FF5"/>
    <w:rsid w:val="007B16A0"/>
    <w:rsid w:val="007B1775"/>
    <w:rsid w:val="007B5645"/>
    <w:rsid w:val="007B6A26"/>
    <w:rsid w:val="007B6EDB"/>
    <w:rsid w:val="007C0F2C"/>
    <w:rsid w:val="007C2049"/>
    <w:rsid w:val="007C56B1"/>
    <w:rsid w:val="007C6777"/>
    <w:rsid w:val="007D326B"/>
    <w:rsid w:val="007D33A8"/>
    <w:rsid w:val="007D65E1"/>
    <w:rsid w:val="007E760F"/>
    <w:rsid w:val="007F0B19"/>
    <w:rsid w:val="007F0F7D"/>
    <w:rsid w:val="007F15B0"/>
    <w:rsid w:val="007F26C1"/>
    <w:rsid w:val="007F347E"/>
    <w:rsid w:val="007F5C79"/>
    <w:rsid w:val="007F775D"/>
    <w:rsid w:val="008009ED"/>
    <w:rsid w:val="00801F09"/>
    <w:rsid w:val="00802185"/>
    <w:rsid w:val="0080229B"/>
    <w:rsid w:val="00803071"/>
    <w:rsid w:val="0080553B"/>
    <w:rsid w:val="00806BC0"/>
    <w:rsid w:val="00812E5D"/>
    <w:rsid w:val="0081379E"/>
    <w:rsid w:val="0081387C"/>
    <w:rsid w:val="00822139"/>
    <w:rsid w:val="008221CD"/>
    <w:rsid w:val="0082288C"/>
    <w:rsid w:val="008236F8"/>
    <w:rsid w:val="0082468A"/>
    <w:rsid w:val="00825EE6"/>
    <w:rsid w:val="0082612B"/>
    <w:rsid w:val="00831EA7"/>
    <w:rsid w:val="008341D0"/>
    <w:rsid w:val="008346A3"/>
    <w:rsid w:val="00836EE7"/>
    <w:rsid w:val="00837A25"/>
    <w:rsid w:val="00840FAF"/>
    <w:rsid w:val="0084227B"/>
    <w:rsid w:val="00843B58"/>
    <w:rsid w:val="00844E18"/>
    <w:rsid w:val="00852FC6"/>
    <w:rsid w:val="00855950"/>
    <w:rsid w:val="008559EF"/>
    <w:rsid w:val="008579F6"/>
    <w:rsid w:val="00857F6A"/>
    <w:rsid w:val="008606A7"/>
    <w:rsid w:val="00864A46"/>
    <w:rsid w:val="00867E62"/>
    <w:rsid w:val="0088309A"/>
    <w:rsid w:val="00886CD0"/>
    <w:rsid w:val="0088712D"/>
    <w:rsid w:val="00887B38"/>
    <w:rsid w:val="008902BF"/>
    <w:rsid w:val="00890477"/>
    <w:rsid w:val="00892065"/>
    <w:rsid w:val="008930AA"/>
    <w:rsid w:val="00896990"/>
    <w:rsid w:val="008A1A8A"/>
    <w:rsid w:val="008A1E2F"/>
    <w:rsid w:val="008A288E"/>
    <w:rsid w:val="008A362D"/>
    <w:rsid w:val="008A66CB"/>
    <w:rsid w:val="008B1C57"/>
    <w:rsid w:val="008B30BB"/>
    <w:rsid w:val="008B539E"/>
    <w:rsid w:val="008B61CE"/>
    <w:rsid w:val="008B6B4F"/>
    <w:rsid w:val="008C189A"/>
    <w:rsid w:val="008C2304"/>
    <w:rsid w:val="008C27F7"/>
    <w:rsid w:val="008C76AC"/>
    <w:rsid w:val="008D284C"/>
    <w:rsid w:val="008E2AA7"/>
    <w:rsid w:val="008E3C32"/>
    <w:rsid w:val="008E6F6C"/>
    <w:rsid w:val="008E7AE4"/>
    <w:rsid w:val="008F09C8"/>
    <w:rsid w:val="008F1A9C"/>
    <w:rsid w:val="008F4914"/>
    <w:rsid w:val="008F5A2A"/>
    <w:rsid w:val="008F659C"/>
    <w:rsid w:val="008F7A9B"/>
    <w:rsid w:val="008F7AA7"/>
    <w:rsid w:val="00900514"/>
    <w:rsid w:val="00901982"/>
    <w:rsid w:val="00906982"/>
    <w:rsid w:val="00915796"/>
    <w:rsid w:val="009175F2"/>
    <w:rsid w:val="009209C5"/>
    <w:rsid w:val="00921DF6"/>
    <w:rsid w:val="009221B7"/>
    <w:rsid w:val="00923708"/>
    <w:rsid w:val="0092496A"/>
    <w:rsid w:val="00926A02"/>
    <w:rsid w:val="009278D4"/>
    <w:rsid w:val="00934F4E"/>
    <w:rsid w:val="0093793B"/>
    <w:rsid w:val="00940893"/>
    <w:rsid w:val="00942774"/>
    <w:rsid w:val="00942F8C"/>
    <w:rsid w:val="00943CB2"/>
    <w:rsid w:val="00945A62"/>
    <w:rsid w:val="00950336"/>
    <w:rsid w:val="009504F0"/>
    <w:rsid w:val="00950CFE"/>
    <w:rsid w:val="00951413"/>
    <w:rsid w:val="00960DBA"/>
    <w:rsid w:val="00961716"/>
    <w:rsid w:val="0096261E"/>
    <w:rsid w:val="00962656"/>
    <w:rsid w:val="00962776"/>
    <w:rsid w:val="00962857"/>
    <w:rsid w:val="00963E95"/>
    <w:rsid w:val="00965E7A"/>
    <w:rsid w:val="00966E13"/>
    <w:rsid w:val="00967FD0"/>
    <w:rsid w:val="00970F26"/>
    <w:rsid w:val="00971438"/>
    <w:rsid w:val="009726BB"/>
    <w:rsid w:val="009812D4"/>
    <w:rsid w:val="00981B07"/>
    <w:rsid w:val="009877CA"/>
    <w:rsid w:val="009911C5"/>
    <w:rsid w:val="00991260"/>
    <w:rsid w:val="0099207D"/>
    <w:rsid w:val="00992806"/>
    <w:rsid w:val="009933BC"/>
    <w:rsid w:val="00994A32"/>
    <w:rsid w:val="00995D99"/>
    <w:rsid w:val="00996F31"/>
    <w:rsid w:val="00997074"/>
    <w:rsid w:val="009971E9"/>
    <w:rsid w:val="009A1584"/>
    <w:rsid w:val="009A185C"/>
    <w:rsid w:val="009A2D21"/>
    <w:rsid w:val="009A3280"/>
    <w:rsid w:val="009A3412"/>
    <w:rsid w:val="009A5C61"/>
    <w:rsid w:val="009A614A"/>
    <w:rsid w:val="009B1F39"/>
    <w:rsid w:val="009B1F64"/>
    <w:rsid w:val="009B38F0"/>
    <w:rsid w:val="009B63DD"/>
    <w:rsid w:val="009C3ED4"/>
    <w:rsid w:val="009C4986"/>
    <w:rsid w:val="009C4C34"/>
    <w:rsid w:val="009C76A7"/>
    <w:rsid w:val="009C76C0"/>
    <w:rsid w:val="009D0CA1"/>
    <w:rsid w:val="009D3612"/>
    <w:rsid w:val="009D39E5"/>
    <w:rsid w:val="009D6DFD"/>
    <w:rsid w:val="009D7F98"/>
    <w:rsid w:val="009F1266"/>
    <w:rsid w:val="00A004EC"/>
    <w:rsid w:val="00A02ED9"/>
    <w:rsid w:val="00A05393"/>
    <w:rsid w:val="00A060BB"/>
    <w:rsid w:val="00A06F2E"/>
    <w:rsid w:val="00A06FCF"/>
    <w:rsid w:val="00A157B7"/>
    <w:rsid w:val="00A15B0C"/>
    <w:rsid w:val="00A15EA9"/>
    <w:rsid w:val="00A2001B"/>
    <w:rsid w:val="00A22418"/>
    <w:rsid w:val="00A24772"/>
    <w:rsid w:val="00A272C2"/>
    <w:rsid w:val="00A32CD6"/>
    <w:rsid w:val="00A35905"/>
    <w:rsid w:val="00A36769"/>
    <w:rsid w:val="00A379D5"/>
    <w:rsid w:val="00A409B5"/>
    <w:rsid w:val="00A40A56"/>
    <w:rsid w:val="00A4206A"/>
    <w:rsid w:val="00A42AB5"/>
    <w:rsid w:val="00A42DC1"/>
    <w:rsid w:val="00A440B2"/>
    <w:rsid w:val="00A4666F"/>
    <w:rsid w:val="00A5651A"/>
    <w:rsid w:val="00A56ECB"/>
    <w:rsid w:val="00A578CF"/>
    <w:rsid w:val="00A57A9A"/>
    <w:rsid w:val="00A61B90"/>
    <w:rsid w:val="00A61E80"/>
    <w:rsid w:val="00A63633"/>
    <w:rsid w:val="00A701C0"/>
    <w:rsid w:val="00A71296"/>
    <w:rsid w:val="00A7344B"/>
    <w:rsid w:val="00A73565"/>
    <w:rsid w:val="00A73F13"/>
    <w:rsid w:val="00A74CEF"/>
    <w:rsid w:val="00A760C3"/>
    <w:rsid w:val="00A805FF"/>
    <w:rsid w:val="00A92DC0"/>
    <w:rsid w:val="00A9323D"/>
    <w:rsid w:val="00A934A7"/>
    <w:rsid w:val="00A955C8"/>
    <w:rsid w:val="00A9582D"/>
    <w:rsid w:val="00A96F9F"/>
    <w:rsid w:val="00AA29CB"/>
    <w:rsid w:val="00AA6D27"/>
    <w:rsid w:val="00AB00F6"/>
    <w:rsid w:val="00AB1DF9"/>
    <w:rsid w:val="00AB7E4F"/>
    <w:rsid w:val="00AC0BC0"/>
    <w:rsid w:val="00AC132B"/>
    <w:rsid w:val="00AC1A5E"/>
    <w:rsid w:val="00AC32E0"/>
    <w:rsid w:val="00AC5B21"/>
    <w:rsid w:val="00AC77CA"/>
    <w:rsid w:val="00AD0850"/>
    <w:rsid w:val="00AD26DB"/>
    <w:rsid w:val="00AD372B"/>
    <w:rsid w:val="00AD6BB2"/>
    <w:rsid w:val="00AD7078"/>
    <w:rsid w:val="00AD7CEA"/>
    <w:rsid w:val="00AE08E5"/>
    <w:rsid w:val="00AE0AD4"/>
    <w:rsid w:val="00AE0EF8"/>
    <w:rsid w:val="00AE1307"/>
    <w:rsid w:val="00AE319E"/>
    <w:rsid w:val="00AE3CBC"/>
    <w:rsid w:val="00AE57DF"/>
    <w:rsid w:val="00AE6C25"/>
    <w:rsid w:val="00AE76BA"/>
    <w:rsid w:val="00AF367B"/>
    <w:rsid w:val="00B01DC3"/>
    <w:rsid w:val="00B05E00"/>
    <w:rsid w:val="00B05F51"/>
    <w:rsid w:val="00B12B67"/>
    <w:rsid w:val="00B12B9B"/>
    <w:rsid w:val="00B12BB2"/>
    <w:rsid w:val="00B1353E"/>
    <w:rsid w:val="00B15E59"/>
    <w:rsid w:val="00B160C8"/>
    <w:rsid w:val="00B23998"/>
    <w:rsid w:val="00B25744"/>
    <w:rsid w:val="00B25D4F"/>
    <w:rsid w:val="00B265AC"/>
    <w:rsid w:val="00B275FB"/>
    <w:rsid w:val="00B27DD6"/>
    <w:rsid w:val="00B30A65"/>
    <w:rsid w:val="00B35115"/>
    <w:rsid w:val="00B364E2"/>
    <w:rsid w:val="00B37A88"/>
    <w:rsid w:val="00B40793"/>
    <w:rsid w:val="00B43334"/>
    <w:rsid w:val="00B43E7E"/>
    <w:rsid w:val="00B47264"/>
    <w:rsid w:val="00B52C9C"/>
    <w:rsid w:val="00B536EE"/>
    <w:rsid w:val="00B537BF"/>
    <w:rsid w:val="00B566E2"/>
    <w:rsid w:val="00B60249"/>
    <w:rsid w:val="00B607AC"/>
    <w:rsid w:val="00B615B2"/>
    <w:rsid w:val="00B658D5"/>
    <w:rsid w:val="00B67207"/>
    <w:rsid w:val="00B70F87"/>
    <w:rsid w:val="00B716C3"/>
    <w:rsid w:val="00B72EE0"/>
    <w:rsid w:val="00B73043"/>
    <w:rsid w:val="00B74148"/>
    <w:rsid w:val="00B770F6"/>
    <w:rsid w:val="00B7757E"/>
    <w:rsid w:val="00B80298"/>
    <w:rsid w:val="00B80AD9"/>
    <w:rsid w:val="00B84315"/>
    <w:rsid w:val="00B85E42"/>
    <w:rsid w:val="00B87876"/>
    <w:rsid w:val="00B95373"/>
    <w:rsid w:val="00B95920"/>
    <w:rsid w:val="00BA0169"/>
    <w:rsid w:val="00BA01C0"/>
    <w:rsid w:val="00BA0FB4"/>
    <w:rsid w:val="00BA3C59"/>
    <w:rsid w:val="00BA6EDE"/>
    <w:rsid w:val="00BB09EA"/>
    <w:rsid w:val="00BB1C0E"/>
    <w:rsid w:val="00BB4D48"/>
    <w:rsid w:val="00BB5F1D"/>
    <w:rsid w:val="00BB5FAC"/>
    <w:rsid w:val="00BB76AA"/>
    <w:rsid w:val="00BB77C7"/>
    <w:rsid w:val="00BC0C2E"/>
    <w:rsid w:val="00BC1C03"/>
    <w:rsid w:val="00BC2A7D"/>
    <w:rsid w:val="00BC3376"/>
    <w:rsid w:val="00BC3C84"/>
    <w:rsid w:val="00BC48D1"/>
    <w:rsid w:val="00BC5EB8"/>
    <w:rsid w:val="00BC70E9"/>
    <w:rsid w:val="00BC76A0"/>
    <w:rsid w:val="00BC7C7F"/>
    <w:rsid w:val="00BC7E41"/>
    <w:rsid w:val="00BD3779"/>
    <w:rsid w:val="00BD4B73"/>
    <w:rsid w:val="00BD52DB"/>
    <w:rsid w:val="00BE1652"/>
    <w:rsid w:val="00BE3AC1"/>
    <w:rsid w:val="00BE3E32"/>
    <w:rsid w:val="00BE792B"/>
    <w:rsid w:val="00BF1116"/>
    <w:rsid w:val="00BF206F"/>
    <w:rsid w:val="00BF2CBE"/>
    <w:rsid w:val="00BF3C3F"/>
    <w:rsid w:val="00BF3E83"/>
    <w:rsid w:val="00C0012E"/>
    <w:rsid w:val="00C0175A"/>
    <w:rsid w:val="00C0183F"/>
    <w:rsid w:val="00C0249F"/>
    <w:rsid w:val="00C024C9"/>
    <w:rsid w:val="00C02FC6"/>
    <w:rsid w:val="00C03EF5"/>
    <w:rsid w:val="00C041D2"/>
    <w:rsid w:val="00C04A55"/>
    <w:rsid w:val="00C04D5E"/>
    <w:rsid w:val="00C04EFE"/>
    <w:rsid w:val="00C1056D"/>
    <w:rsid w:val="00C10928"/>
    <w:rsid w:val="00C120DE"/>
    <w:rsid w:val="00C156F0"/>
    <w:rsid w:val="00C160B6"/>
    <w:rsid w:val="00C16689"/>
    <w:rsid w:val="00C216A0"/>
    <w:rsid w:val="00C2215A"/>
    <w:rsid w:val="00C22DDF"/>
    <w:rsid w:val="00C3080A"/>
    <w:rsid w:val="00C319FD"/>
    <w:rsid w:val="00C32241"/>
    <w:rsid w:val="00C323D3"/>
    <w:rsid w:val="00C338BB"/>
    <w:rsid w:val="00C461A3"/>
    <w:rsid w:val="00C461D4"/>
    <w:rsid w:val="00C50A29"/>
    <w:rsid w:val="00C50EBF"/>
    <w:rsid w:val="00C52981"/>
    <w:rsid w:val="00C52D37"/>
    <w:rsid w:val="00C54EC3"/>
    <w:rsid w:val="00C550D5"/>
    <w:rsid w:val="00C56115"/>
    <w:rsid w:val="00C56AFA"/>
    <w:rsid w:val="00C57A74"/>
    <w:rsid w:val="00C61955"/>
    <w:rsid w:val="00C61A1A"/>
    <w:rsid w:val="00C62507"/>
    <w:rsid w:val="00C62EBF"/>
    <w:rsid w:val="00C63384"/>
    <w:rsid w:val="00C6365D"/>
    <w:rsid w:val="00C63CC2"/>
    <w:rsid w:val="00C657B7"/>
    <w:rsid w:val="00C65DC8"/>
    <w:rsid w:val="00C6626E"/>
    <w:rsid w:val="00C67FDE"/>
    <w:rsid w:val="00C70F32"/>
    <w:rsid w:val="00C74788"/>
    <w:rsid w:val="00C75236"/>
    <w:rsid w:val="00C77645"/>
    <w:rsid w:val="00C802CD"/>
    <w:rsid w:val="00C80F2D"/>
    <w:rsid w:val="00C82061"/>
    <w:rsid w:val="00C83BC7"/>
    <w:rsid w:val="00C84CEF"/>
    <w:rsid w:val="00C8502C"/>
    <w:rsid w:val="00C8527B"/>
    <w:rsid w:val="00C85D7B"/>
    <w:rsid w:val="00C86DEB"/>
    <w:rsid w:val="00C90AD3"/>
    <w:rsid w:val="00C91271"/>
    <w:rsid w:val="00C926E3"/>
    <w:rsid w:val="00C92A0E"/>
    <w:rsid w:val="00C93F45"/>
    <w:rsid w:val="00C94D2D"/>
    <w:rsid w:val="00CA36E1"/>
    <w:rsid w:val="00CA4E35"/>
    <w:rsid w:val="00CA5DE9"/>
    <w:rsid w:val="00CA6726"/>
    <w:rsid w:val="00CB30E3"/>
    <w:rsid w:val="00CB4B21"/>
    <w:rsid w:val="00CB51E2"/>
    <w:rsid w:val="00CC001A"/>
    <w:rsid w:val="00CC01F9"/>
    <w:rsid w:val="00CC38BC"/>
    <w:rsid w:val="00CC40ED"/>
    <w:rsid w:val="00CC571C"/>
    <w:rsid w:val="00CC6BA9"/>
    <w:rsid w:val="00CC7B55"/>
    <w:rsid w:val="00CC7DFE"/>
    <w:rsid w:val="00CD1759"/>
    <w:rsid w:val="00CD1848"/>
    <w:rsid w:val="00CD2FF1"/>
    <w:rsid w:val="00CD5482"/>
    <w:rsid w:val="00CD6401"/>
    <w:rsid w:val="00CD735F"/>
    <w:rsid w:val="00CE006F"/>
    <w:rsid w:val="00CE020A"/>
    <w:rsid w:val="00CE223B"/>
    <w:rsid w:val="00CE2B17"/>
    <w:rsid w:val="00CE374D"/>
    <w:rsid w:val="00CE3B93"/>
    <w:rsid w:val="00CE4F25"/>
    <w:rsid w:val="00CE58ED"/>
    <w:rsid w:val="00CE67DA"/>
    <w:rsid w:val="00CE758F"/>
    <w:rsid w:val="00CE7B50"/>
    <w:rsid w:val="00CF1365"/>
    <w:rsid w:val="00CF236B"/>
    <w:rsid w:val="00CF240B"/>
    <w:rsid w:val="00CF336B"/>
    <w:rsid w:val="00CF3B75"/>
    <w:rsid w:val="00CF74D4"/>
    <w:rsid w:val="00CF7B40"/>
    <w:rsid w:val="00CF7FB6"/>
    <w:rsid w:val="00D01755"/>
    <w:rsid w:val="00D02ADC"/>
    <w:rsid w:val="00D049D9"/>
    <w:rsid w:val="00D05B4B"/>
    <w:rsid w:val="00D063C2"/>
    <w:rsid w:val="00D06733"/>
    <w:rsid w:val="00D0737D"/>
    <w:rsid w:val="00D10BEE"/>
    <w:rsid w:val="00D114FA"/>
    <w:rsid w:val="00D11C9E"/>
    <w:rsid w:val="00D1308C"/>
    <w:rsid w:val="00D14B0C"/>
    <w:rsid w:val="00D16208"/>
    <w:rsid w:val="00D215E4"/>
    <w:rsid w:val="00D219D5"/>
    <w:rsid w:val="00D2263F"/>
    <w:rsid w:val="00D24EE2"/>
    <w:rsid w:val="00D2559B"/>
    <w:rsid w:val="00D3143F"/>
    <w:rsid w:val="00D33AAC"/>
    <w:rsid w:val="00D33BA9"/>
    <w:rsid w:val="00D3435C"/>
    <w:rsid w:val="00D360DA"/>
    <w:rsid w:val="00D37786"/>
    <w:rsid w:val="00D40FFB"/>
    <w:rsid w:val="00D50960"/>
    <w:rsid w:val="00D50AA6"/>
    <w:rsid w:val="00D50E9E"/>
    <w:rsid w:val="00D52746"/>
    <w:rsid w:val="00D52AB3"/>
    <w:rsid w:val="00D54318"/>
    <w:rsid w:val="00D606B1"/>
    <w:rsid w:val="00D617C5"/>
    <w:rsid w:val="00D63AED"/>
    <w:rsid w:val="00D64589"/>
    <w:rsid w:val="00D66F58"/>
    <w:rsid w:val="00D709B2"/>
    <w:rsid w:val="00D71381"/>
    <w:rsid w:val="00D7173A"/>
    <w:rsid w:val="00D721EB"/>
    <w:rsid w:val="00D7537C"/>
    <w:rsid w:val="00D75F3C"/>
    <w:rsid w:val="00D77EF4"/>
    <w:rsid w:val="00D80A25"/>
    <w:rsid w:val="00D83412"/>
    <w:rsid w:val="00D854B2"/>
    <w:rsid w:val="00D87CCE"/>
    <w:rsid w:val="00D87DFB"/>
    <w:rsid w:val="00D91325"/>
    <w:rsid w:val="00D947A1"/>
    <w:rsid w:val="00D959E9"/>
    <w:rsid w:val="00D970C3"/>
    <w:rsid w:val="00DA2982"/>
    <w:rsid w:val="00DA39B8"/>
    <w:rsid w:val="00DA4668"/>
    <w:rsid w:val="00DA5840"/>
    <w:rsid w:val="00DA7879"/>
    <w:rsid w:val="00DA7ACB"/>
    <w:rsid w:val="00DB0319"/>
    <w:rsid w:val="00DB2230"/>
    <w:rsid w:val="00DB2A7E"/>
    <w:rsid w:val="00DB470E"/>
    <w:rsid w:val="00DC0157"/>
    <w:rsid w:val="00DC260D"/>
    <w:rsid w:val="00DC271C"/>
    <w:rsid w:val="00DC2FC3"/>
    <w:rsid w:val="00DC3C54"/>
    <w:rsid w:val="00DC45E6"/>
    <w:rsid w:val="00DD0C4F"/>
    <w:rsid w:val="00DD33E8"/>
    <w:rsid w:val="00DD4110"/>
    <w:rsid w:val="00DD4D01"/>
    <w:rsid w:val="00DD5095"/>
    <w:rsid w:val="00DE0797"/>
    <w:rsid w:val="00DE1AC8"/>
    <w:rsid w:val="00DE429A"/>
    <w:rsid w:val="00DE42C9"/>
    <w:rsid w:val="00DE5D83"/>
    <w:rsid w:val="00DF1D6D"/>
    <w:rsid w:val="00DF26EA"/>
    <w:rsid w:val="00DF3954"/>
    <w:rsid w:val="00DF3C6D"/>
    <w:rsid w:val="00DF7267"/>
    <w:rsid w:val="00E0051C"/>
    <w:rsid w:val="00E00941"/>
    <w:rsid w:val="00E1186A"/>
    <w:rsid w:val="00E13A85"/>
    <w:rsid w:val="00E1448D"/>
    <w:rsid w:val="00E144EB"/>
    <w:rsid w:val="00E204CE"/>
    <w:rsid w:val="00E20E40"/>
    <w:rsid w:val="00E21A8B"/>
    <w:rsid w:val="00E2647C"/>
    <w:rsid w:val="00E32DE2"/>
    <w:rsid w:val="00E3363C"/>
    <w:rsid w:val="00E360BD"/>
    <w:rsid w:val="00E3684E"/>
    <w:rsid w:val="00E36EC7"/>
    <w:rsid w:val="00E437EF"/>
    <w:rsid w:val="00E44649"/>
    <w:rsid w:val="00E46920"/>
    <w:rsid w:val="00E479EA"/>
    <w:rsid w:val="00E47F01"/>
    <w:rsid w:val="00E528E0"/>
    <w:rsid w:val="00E5716E"/>
    <w:rsid w:val="00E6173F"/>
    <w:rsid w:val="00E646D5"/>
    <w:rsid w:val="00E64B44"/>
    <w:rsid w:val="00E6614B"/>
    <w:rsid w:val="00E665BE"/>
    <w:rsid w:val="00E66885"/>
    <w:rsid w:val="00E66BA1"/>
    <w:rsid w:val="00E66F64"/>
    <w:rsid w:val="00E7014D"/>
    <w:rsid w:val="00E73A25"/>
    <w:rsid w:val="00E752F3"/>
    <w:rsid w:val="00E75428"/>
    <w:rsid w:val="00E7687E"/>
    <w:rsid w:val="00E77CFA"/>
    <w:rsid w:val="00E802E6"/>
    <w:rsid w:val="00E80532"/>
    <w:rsid w:val="00E8091D"/>
    <w:rsid w:val="00E83DED"/>
    <w:rsid w:val="00E85200"/>
    <w:rsid w:val="00E85C87"/>
    <w:rsid w:val="00E87732"/>
    <w:rsid w:val="00E87C1C"/>
    <w:rsid w:val="00E90A28"/>
    <w:rsid w:val="00E914B9"/>
    <w:rsid w:val="00E960D5"/>
    <w:rsid w:val="00EA1302"/>
    <w:rsid w:val="00EA2680"/>
    <w:rsid w:val="00EA51FF"/>
    <w:rsid w:val="00EA75F0"/>
    <w:rsid w:val="00EB2761"/>
    <w:rsid w:val="00EB771E"/>
    <w:rsid w:val="00EB7726"/>
    <w:rsid w:val="00EB7CC6"/>
    <w:rsid w:val="00EC0BEB"/>
    <w:rsid w:val="00EC16EE"/>
    <w:rsid w:val="00EC2219"/>
    <w:rsid w:val="00EC316F"/>
    <w:rsid w:val="00EC35CC"/>
    <w:rsid w:val="00EC3B5A"/>
    <w:rsid w:val="00EC52AB"/>
    <w:rsid w:val="00EC5BF3"/>
    <w:rsid w:val="00EC701B"/>
    <w:rsid w:val="00ED1475"/>
    <w:rsid w:val="00ED359B"/>
    <w:rsid w:val="00ED35F1"/>
    <w:rsid w:val="00ED6A48"/>
    <w:rsid w:val="00ED6A56"/>
    <w:rsid w:val="00ED6D47"/>
    <w:rsid w:val="00EE0846"/>
    <w:rsid w:val="00EE1E94"/>
    <w:rsid w:val="00EE3E3C"/>
    <w:rsid w:val="00EF05C3"/>
    <w:rsid w:val="00EF0AF3"/>
    <w:rsid w:val="00EF2E06"/>
    <w:rsid w:val="00EF50CA"/>
    <w:rsid w:val="00F01025"/>
    <w:rsid w:val="00F01674"/>
    <w:rsid w:val="00F01A2A"/>
    <w:rsid w:val="00F0338B"/>
    <w:rsid w:val="00F036C1"/>
    <w:rsid w:val="00F03F97"/>
    <w:rsid w:val="00F0465B"/>
    <w:rsid w:val="00F05DA7"/>
    <w:rsid w:val="00F05E62"/>
    <w:rsid w:val="00F061E2"/>
    <w:rsid w:val="00F07DFE"/>
    <w:rsid w:val="00F1277B"/>
    <w:rsid w:val="00F12A98"/>
    <w:rsid w:val="00F1396E"/>
    <w:rsid w:val="00F144CE"/>
    <w:rsid w:val="00F20107"/>
    <w:rsid w:val="00F20D83"/>
    <w:rsid w:val="00F223E0"/>
    <w:rsid w:val="00F22BB2"/>
    <w:rsid w:val="00F237EE"/>
    <w:rsid w:val="00F24C15"/>
    <w:rsid w:val="00F251B2"/>
    <w:rsid w:val="00F251B4"/>
    <w:rsid w:val="00F260F2"/>
    <w:rsid w:val="00F26355"/>
    <w:rsid w:val="00F272EA"/>
    <w:rsid w:val="00F32470"/>
    <w:rsid w:val="00F34B0C"/>
    <w:rsid w:val="00F35120"/>
    <w:rsid w:val="00F35CE6"/>
    <w:rsid w:val="00F35CFB"/>
    <w:rsid w:val="00F406CD"/>
    <w:rsid w:val="00F42218"/>
    <w:rsid w:val="00F46895"/>
    <w:rsid w:val="00F50461"/>
    <w:rsid w:val="00F52BE1"/>
    <w:rsid w:val="00F53267"/>
    <w:rsid w:val="00F55E37"/>
    <w:rsid w:val="00F573B2"/>
    <w:rsid w:val="00F57777"/>
    <w:rsid w:val="00F61CA2"/>
    <w:rsid w:val="00F62538"/>
    <w:rsid w:val="00F62FE6"/>
    <w:rsid w:val="00F6444F"/>
    <w:rsid w:val="00F652C5"/>
    <w:rsid w:val="00F667E0"/>
    <w:rsid w:val="00F70935"/>
    <w:rsid w:val="00F70FAB"/>
    <w:rsid w:val="00F73A76"/>
    <w:rsid w:val="00F73F46"/>
    <w:rsid w:val="00F740E1"/>
    <w:rsid w:val="00F75974"/>
    <w:rsid w:val="00F76A87"/>
    <w:rsid w:val="00F80684"/>
    <w:rsid w:val="00F82782"/>
    <w:rsid w:val="00F8417E"/>
    <w:rsid w:val="00F858AC"/>
    <w:rsid w:val="00F90230"/>
    <w:rsid w:val="00F90F9E"/>
    <w:rsid w:val="00F94CDF"/>
    <w:rsid w:val="00F96F5A"/>
    <w:rsid w:val="00FA35E1"/>
    <w:rsid w:val="00FA3A09"/>
    <w:rsid w:val="00FA3DB5"/>
    <w:rsid w:val="00FA42B6"/>
    <w:rsid w:val="00FA5132"/>
    <w:rsid w:val="00FB287D"/>
    <w:rsid w:val="00FB3138"/>
    <w:rsid w:val="00FB3E05"/>
    <w:rsid w:val="00FB680A"/>
    <w:rsid w:val="00FB6A89"/>
    <w:rsid w:val="00FC09B1"/>
    <w:rsid w:val="00FC1657"/>
    <w:rsid w:val="00FC5305"/>
    <w:rsid w:val="00FC5875"/>
    <w:rsid w:val="00FD2E36"/>
    <w:rsid w:val="00FD2E5C"/>
    <w:rsid w:val="00FD6589"/>
    <w:rsid w:val="00FD6E6F"/>
    <w:rsid w:val="00FE07A9"/>
    <w:rsid w:val="00FE1891"/>
    <w:rsid w:val="00FE4010"/>
    <w:rsid w:val="00FE41FD"/>
    <w:rsid w:val="00FE4DD6"/>
    <w:rsid w:val="00FE5DBB"/>
    <w:rsid w:val="00FE74FE"/>
    <w:rsid w:val="00FE78D3"/>
    <w:rsid w:val="00FE7915"/>
    <w:rsid w:val="00FF02C1"/>
    <w:rsid w:val="00FF049E"/>
    <w:rsid w:val="00FF094B"/>
    <w:rsid w:val="00FF0AB0"/>
    <w:rsid w:val="00FF1BEA"/>
    <w:rsid w:val="00FF242F"/>
    <w:rsid w:val="00FF2F79"/>
    <w:rsid w:val="00FF3DDB"/>
    <w:rsid w:val="00FF5EBF"/>
    <w:rsid w:val="059B7EDA"/>
    <w:rsid w:val="07C05387"/>
    <w:rsid w:val="13DE3CD2"/>
    <w:rsid w:val="222307FE"/>
    <w:rsid w:val="2FC81EC0"/>
    <w:rsid w:val="33D16298"/>
    <w:rsid w:val="372C4FAD"/>
    <w:rsid w:val="4CA37B21"/>
    <w:rsid w:val="556D461E"/>
    <w:rsid w:val="5A595D0C"/>
    <w:rsid w:val="68904117"/>
    <w:rsid w:val="704904F9"/>
    <w:rsid w:val="757A60AE"/>
    <w:rsid w:val="7AB91375"/>
  </w:rsids>
  <w:docVars>
    <w:docVar w:name="commondata" w:val="eyJoZGlkIjoiMTk4NmM5NDk0Nzg0NTA0N2Q4NTA2ZTg3MTg3NjRkYTIifQ=="/>
  </w:docVar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index 1" w:semiHidden="0" w:qFormat="1"/>
    <w:lsdException w:name="index 2" w:semiHidden="0" w:qFormat="1"/>
    <w:lsdException w:name="index 3" w:semiHidden="0" w:qFormat="1"/>
    <w:lsdException w:name="index 4" w:semiHidden="0" w:qFormat="1"/>
    <w:lsdException w:name="index 5" w:semiHidden="0" w:qFormat="1"/>
    <w:lsdException w:name="index 6" w:semiHidden="0" w:qFormat="1"/>
    <w:lsdException w:name="index 7" w:semiHidden="0" w:qFormat="1"/>
    <w:lsdException w:name="index 8" w:semiHidden="0" w:qFormat="1"/>
    <w:lsdException w:name="index 9" w:semiHidden="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semiHidden="0" w:qFormat="1"/>
    <w:lsdException w:name="footnote text" w:semiHidden="0" w:qFormat="1"/>
    <w:lsdException w:name="annotation text" w:semiHidden="0" w:unhideWhenUsed="0" w:qFormat="1"/>
    <w:lsdException w:name="header" w:semiHidden="0" w:qFormat="1"/>
    <w:lsdException w:name="footer" w:semiHidden="0" w:qFormat="1"/>
    <w:lsdException w:name="index heading" w:semiHidden="0" w:qFormat="1"/>
    <w:lsdException w:name="caption" w:semiHidden="0" w:uiPriority="35" w:unhideWhenUsed="0" w:qFormat="1"/>
    <w:lsdException w:name="table of figures" w:semiHidden="0" w:qFormat="1"/>
    <w:lsdException w:name="envelope address" w:semiHidden="0" w:qFormat="1"/>
    <w:lsdException w:name="envelope return" w:semiHidden="0" w:qFormat="1"/>
    <w:lsdException w:name="footnote reference"/>
    <w:lsdException w:name="annotation reference" w:semiHidden="0" w:unhideWhenUsed="0" w:qFormat="1"/>
    <w:lsdException w:name="line number"/>
    <w:lsdException w:name="page number"/>
    <w:lsdException w:name="endnote reference"/>
    <w:lsdException w:name="endnote text" w:semiHidden="0" w:qFormat="1"/>
    <w:lsdException w:name="table of authorities" w:semiHidden="0" w:qFormat="1"/>
    <w:lsdException w:name="macro" w:semiHidden="0" w:qFormat="1"/>
    <w:lsdException w:name="toa heading" w:semiHidden="0" w:qFormat="1"/>
    <w:lsdException w:name="List" w:semiHidden="0" w:qFormat="1"/>
    <w:lsdException w:name="List Bullet" w:semiHidden="0" w:qFormat="1"/>
    <w:lsdException w:name="List Number" w:semiHidden="0" w:qFormat="1"/>
    <w:lsdException w:name="List 2" w:semiHidden="0" w:qFormat="1"/>
    <w:lsdException w:name="List 3" w:semiHidden="0" w:qFormat="1"/>
    <w:lsdException w:name="List 4" w:semiHidden="0" w:qFormat="1"/>
    <w:lsdException w:name="List 5" w:semiHidden="0" w:qFormat="1"/>
    <w:lsdException w:name="List Bullet 2" w:semiHidden="0" w:qFormat="1"/>
    <w:lsdException w:name="List Bullet 3" w:semiHidden="0" w:qFormat="1"/>
    <w:lsdException w:name="List Bullet 4" w:semiHidden="0" w:qFormat="1"/>
    <w:lsdException w:name="List Bullet 5" w:semiHidden="0" w:qFormat="1"/>
    <w:lsdException w:name="List Number 2" w:semiHidden="0" w:qFormat="1"/>
    <w:lsdException w:name="List Number 3" w:semiHidden="0" w:qFormat="1"/>
    <w:lsdException w:name="List Number 4" w:semiHidden="0" w:qFormat="1"/>
    <w:lsdException w:name="List Number 5" w:semiHidden="0" w:qFormat="1"/>
    <w:lsdException w:name="Title" w:semiHidden="0" w:uiPriority="10" w:unhideWhenUsed="0" w:qFormat="1"/>
    <w:lsdException w:name="Closing" w:semiHidden="0" w:qFormat="1"/>
    <w:lsdException w:name="Signature" w:semiHidden="0" w:qFormat="1"/>
    <w:lsdException w:name="Default Paragraph Font" w:semiHidden="0" w:uiPriority="1" w:qFormat="1"/>
    <w:lsdException w:name="Body Text" w:semiHidden="0" w:uiPriority="0" w:unhideWhenUsed="0" w:qFormat="1"/>
    <w:lsdException w:name="Body Text Indent" w:semiHidden="0" w:qFormat="1"/>
    <w:lsdException w:name="List Continue" w:semiHidden="0" w:qFormat="1"/>
    <w:lsdException w:name="List Continue 2" w:semiHidden="0" w:qFormat="1"/>
    <w:lsdException w:name="List Continue 3" w:semiHidden="0" w:qFormat="1"/>
    <w:lsdException w:name="List Continue 4" w:semiHidden="0" w:qFormat="1"/>
    <w:lsdException w:name="List Continue 5" w:semiHidden="0" w:qFormat="1"/>
    <w:lsdException w:name="Message Header" w:semiHidden="0" w:qFormat="1"/>
    <w:lsdException w:name="Subtitle" w:semiHidden="0" w:uiPriority="11" w:unhideWhenUsed="0" w:qFormat="1"/>
    <w:lsdException w:name="Salutation" w:semiHidden="0" w:qFormat="1"/>
    <w:lsdException w:name="Date" w:semiHidden="0" w:qFormat="1"/>
    <w:lsdException w:name="Body Text First Indent" w:semiHidden="0" w:qFormat="1"/>
    <w:lsdException w:name="Body Text First Indent 2" w:semiHidden="0" w:qFormat="1"/>
    <w:lsdException w:name="Note Heading" w:semiHidden="0" w:qFormat="1"/>
    <w:lsdException w:name="Body Text 2" w:semiHidden="0" w:qFormat="1"/>
    <w:lsdException w:name="Body Text 3" w:semiHidden="0" w:qFormat="1"/>
    <w:lsdException w:name="Body Text Indent 2" w:semiHidden="0" w:qFormat="1"/>
    <w:lsdException w:name="Body Text Indent 3" w:semiHidden="0" w:qFormat="1"/>
    <w:lsdException w:name="Block Text" w:semiHidden="0" w:qFormat="1"/>
    <w:lsdException w:name="Hyperlink"/>
    <w:lsdException w:name="FollowedHyperlink"/>
    <w:lsdException w:name="Strong" w:semiHidden="0" w:uiPriority="22" w:unhideWhenUsed="0" w:qFormat="1"/>
    <w:lsdException w:name="Emphasis" w:semiHidden="0" w:uiPriority="20" w:unhideWhenUsed="0" w:qFormat="1"/>
    <w:lsdException w:name="Document Map" w:semiHidden="0" w:qFormat="1"/>
    <w:lsdException w:name="Plain Text" w:semiHidden="0" w:uiPriority="0" w:unhideWhenUsed="0" w:qFormat="1"/>
    <w:lsdException w:name="E-mail Signature" w:semiHidden="0" w:qFormat="1"/>
    <w:lsdException w:name="Normal (Web)" w:semiHidden="0" w:unhideWhenUsed="0" w:qFormat="1"/>
    <w:lsdException w:name="HTML Acronym"/>
    <w:lsdException w:name="HTML Address" w:semiHidden="0" w:qFormat="1"/>
    <w:lsdException w:name="HTML Cite"/>
    <w:lsdException w:name="HTML Code"/>
    <w:lsdException w:name="HTML Definition"/>
    <w:lsdException w:name="HTML Keyboard"/>
    <w:lsdException w:name="HTML Preformatted" w:semiHidden="0" w:qFormat="1"/>
    <w:lsdException w:name="HTML Sample"/>
    <w:lsdException w:name="HTML Typewriter"/>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link w:val="3Char"/>
    <w:uiPriority w:val="9"/>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qFormat/>
    <w:pPr>
      <w:keepNext/>
      <w:keepLines/>
      <w:spacing w:before="280" w:after="290" w:line="376" w:lineRule="auto"/>
      <w:outlineLvl w:val="3"/>
    </w:pPr>
    <w:rPr>
      <w:rFonts w:ascii="Cambria" w:eastAsia="宋体" w:hAnsi="Cambria" w:cs="Times New Roman"/>
      <w:b/>
      <w:bCs/>
      <w:sz w:val="28"/>
      <w:szCs w:val="28"/>
    </w:rPr>
  </w:style>
  <w:style w:type="paragraph" w:styleId="Heading5">
    <w:name w:val="heading 5"/>
    <w:basedOn w:val="Normal"/>
    <w:next w:val="Normal"/>
    <w:link w:val="5Char"/>
    <w:uiPriority w:val="9"/>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qFormat/>
    <w:pPr>
      <w:keepNext/>
      <w:keepLines/>
      <w:spacing w:before="240" w:after="64" w:line="320" w:lineRule="auto"/>
      <w:outlineLvl w:val="5"/>
    </w:pPr>
    <w:rPr>
      <w:rFonts w:ascii="Cambria" w:eastAsia="宋体" w:hAnsi="Cambria" w:cs="Times New Roman"/>
      <w:b/>
      <w:bCs/>
      <w:sz w:val="24"/>
      <w:szCs w:val="24"/>
    </w:rPr>
  </w:style>
  <w:style w:type="paragraph" w:styleId="Heading7">
    <w:name w:val="heading 7"/>
    <w:basedOn w:val="Normal"/>
    <w:next w:val="Normal"/>
    <w:link w:val="7Char"/>
    <w:uiPriority w:val="9"/>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qFormat/>
    <w:pPr>
      <w:keepNext/>
      <w:keepLines/>
      <w:spacing w:before="240" w:after="64" w:line="320" w:lineRule="auto"/>
      <w:outlineLvl w:val="7"/>
    </w:pPr>
    <w:rPr>
      <w:rFonts w:ascii="Cambria" w:eastAsia="宋体" w:hAnsi="Cambria" w:cs="Times New Roman"/>
      <w:sz w:val="24"/>
      <w:szCs w:val="24"/>
    </w:rPr>
  </w:style>
  <w:style w:type="paragraph" w:styleId="Heading9">
    <w:name w:val="heading 9"/>
    <w:basedOn w:val="Normal"/>
    <w:next w:val="Normal"/>
    <w:link w:val="9Char"/>
    <w:uiPriority w:val="9"/>
    <w:qFormat/>
    <w:pPr>
      <w:keepNext/>
      <w:keepLines/>
      <w:spacing w:before="240" w:after="64" w:line="320" w:lineRule="auto"/>
      <w:outlineLvl w:val="8"/>
    </w:pPr>
    <w:rPr>
      <w:rFonts w:ascii="Cambria" w:eastAsia="宋体" w:hAnsi="Cambria" w:cs="Times New Roman"/>
      <w:szCs w:val="21"/>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Macro">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kern w:val="2"/>
      <w:sz w:val="24"/>
      <w:szCs w:val="24"/>
      <w:lang w:val="en-US" w:eastAsia="zh-CN" w:bidi="ar-SA"/>
    </w:rPr>
  </w:style>
  <w:style w:type="paragraph" w:styleId="List3">
    <w:name w:val="List 3"/>
    <w:basedOn w:val="Normal"/>
    <w:uiPriority w:val="99"/>
    <w:unhideWhenUsed/>
    <w:qFormat/>
    <w:pPr>
      <w:ind w:left="100" w:hanging="200" w:leftChars="400" w:hangingChars="200"/>
      <w:contextualSpacing/>
    </w:pPr>
  </w:style>
  <w:style w:type="paragraph" w:styleId="TOC7">
    <w:name w:val="toc 7"/>
    <w:basedOn w:val="Normal"/>
    <w:next w:val="Normal"/>
    <w:uiPriority w:val="39"/>
    <w:unhideWhenUsed/>
    <w:qFormat/>
    <w:pPr>
      <w:ind w:left="2520" w:leftChars="1200"/>
    </w:pPr>
  </w:style>
  <w:style w:type="paragraph" w:styleId="ListNumber2">
    <w:name w:val="List Number 2"/>
    <w:basedOn w:val="Normal"/>
    <w:uiPriority w:val="99"/>
    <w:unhideWhenUsed/>
    <w:qFormat/>
    <w:pPr>
      <w:numPr>
        <w:ilvl w:val="0"/>
        <w:numId w:val="1"/>
      </w:numPr>
      <w:contextualSpacing/>
    </w:pPr>
  </w:style>
  <w:style w:type="paragraph" w:styleId="TableofAuthorities">
    <w:name w:val="table of authorities"/>
    <w:basedOn w:val="Normal"/>
    <w:next w:val="Normal"/>
    <w:uiPriority w:val="99"/>
    <w:unhideWhenUsed/>
    <w:qFormat/>
    <w:pPr>
      <w:ind w:left="420" w:leftChars="200"/>
    </w:pPr>
  </w:style>
  <w:style w:type="paragraph" w:styleId="NoteHeading">
    <w:name w:val="Note Heading"/>
    <w:basedOn w:val="Normal"/>
    <w:next w:val="Normal"/>
    <w:link w:val="Char0"/>
    <w:uiPriority w:val="99"/>
    <w:unhideWhenUsed/>
    <w:qFormat/>
    <w:pPr>
      <w:jc w:val="center"/>
    </w:pPr>
  </w:style>
  <w:style w:type="paragraph" w:styleId="ListBullet4">
    <w:name w:val="List Bullet 4"/>
    <w:basedOn w:val="Normal"/>
    <w:uiPriority w:val="99"/>
    <w:unhideWhenUsed/>
    <w:qFormat/>
    <w:pPr>
      <w:numPr>
        <w:ilvl w:val="0"/>
        <w:numId w:val="2"/>
      </w:numPr>
      <w:contextualSpacing/>
    </w:pPr>
  </w:style>
  <w:style w:type="paragraph" w:styleId="Index8">
    <w:name w:val="index 8"/>
    <w:basedOn w:val="Normal"/>
    <w:next w:val="Normal"/>
    <w:uiPriority w:val="99"/>
    <w:unhideWhenUsed/>
    <w:qFormat/>
    <w:pPr>
      <w:ind w:left="1400" w:leftChars="1400"/>
    </w:pPr>
  </w:style>
  <w:style w:type="paragraph" w:styleId="E-mailSignature">
    <w:name w:val="E-mail Signature"/>
    <w:basedOn w:val="Normal"/>
    <w:link w:val="Char1"/>
    <w:uiPriority w:val="99"/>
    <w:unhideWhenUsed/>
    <w:qFormat/>
  </w:style>
  <w:style w:type="paragraph" w:styleId="ListNumber">
    <w:name w:val="List Number"/>
    <w:basedOn w:val="Normal"/>
    <w:uiPriority w:val="99"/>
    <w:unhideWhenUsed/>
    <w:qFormat/>
    <w:pPr>
      <w:numPr>
        <w:ilvl w:val="0"/>
        <w:numId w:val="3"/>
      </w:numPr>
      <w:contextualSpacing/>
    </w:pPr>
  </w:style>
  <w:style w:type="paragraph" w:styleId="NormalIndent">
    <w:name w:val="Normal Indent"/>
    <w:basedOn w:val="Normal"/>
    <w:uiPriority w:val="99"/>
    <w:unhideWhenUsed/>
    <w:qFormat/>
    <w:pPr>
      <w:ind w:firstLine="420" w:firstLineChars="200"/>
    </w:pPr>
  </w:style>
  <w:style w:type="paragraph" w:styleId="Caption">
    <w:name w:val="caption"/>
    <w:basedOn w:val="Normal"/>
    <w:next w:val="Normal"/>
    <w:uiPriority w:val="35"/>
    <w:qFormat/>
    <w:rPr>
      <w:rFonts w:ascii="Cambria" w:eastAsia="黑体" w:hAnsi="Cambria" w:cs="Times New Roman"/>
      <w:sz w:val="20"/>
      <w:szCs w:val="20"/>
    </w:rPr>
  </w:style>
  <w:style w:type="paragraph" w:styleId="Index5">
    <w:name w:val="index 5"/>
    <w:basedOn w:val="Normal"/>
    <w:next w:val="Normal"/>
    <w:uiPriority w:val="99"/>
    <w:unhideWhenUsed/>
    <w:qFormat/>
    <w:pPr>
      <w:ind w:left="800" w:leftChars="800"/>
    </w:pPr>
  </w:style>
  <w:style w:type="paragraph" w:styleId="ListBullet">
    <w:name w:val="List Bullet"/>
    <w:basedOn w:val="Normal"/>
    <w:uiPriority w:val="99"/>
    <w:unhideWhenUsed/>
    <w:qFormat/>
    <w:pPr>
      <w:numPr>
        <w:ilvl w:val="0"/>
        <w:numId w:val="4"/>
      </w:numPr>
      <w:contextualSpacing/>
    </w:pPr>
  </w:style>
  <w:style w:type="paragraph" w:styleId="EnvelopeAddress">
    <w:name w:val="envelope address"/>
    <w:basedOn w:val="Normal"/>
    <w:uiPriority w:val="99"/>
    <w:unhideWhenUsed/>
    <w:qFormat/>
    <w:pPr>
      <w:framePr w:w="7920" w:h="1980" w:hRule="exact" w:hSpace="180" w:wrap="auto" w:vAnchor="margin" w:hAnchor="page" w:xAlign="center" w:yAlign="bottom"/>
      <w:snapToGrid w:val="0"/>
      <w:ind w:left="100" w:leftChars="1400"/>
    </w:pPr>
    <w:rPr>
      <w:rFonts w:ascii="Cambria" w:eastAsia="宋体" w:hAnsi="Cambria" w:cs="Times New Roman"/>
      <w:sz w:val="24"/>
      <w:szCs w:val="24"/>
    </w:rPr>
  </w:style>
  <w:style w:type="paragraph" w:styleId="DocumentMap">
    <w:name w:val="Document Map"/>
    <w:basedOn w:val="Normal"/>
    <w:link w:val="Char2"/>
    <w:uiPriority w:val="99"/>
    <w:unhideWhenUsed/>
    <w:qFormat/>
    <w:rPr>
      <w:rFonts w:ascii="宋体"/>
      <w:sz w:val="18"/>
      <w:szCs w:val="18"/>
    </w:rPr>
  </w:style>
  <w:style w:type="paragraph" w:styleId="TOAHeading">
    <w:name w:val="toa heading"/>
    <w:basedOn w:val="Normal"/>
    <w:next w:val="Normal"/>
    <w:uiPriority w:val="99"/>
    <w:unhideWhenUsed/>
    <w:qFormat/>
    <w:pPr>
      <w:spacing w:before="120"/>
    </w:pPr>
    <w:rPr>
      <w:rFonts w:ascii="Cambria" w:hAnsi="Cambria" w:cs="Times New Roman"/>
      <w:sz w:val="24"/>
      <w:szCs w:val="24"/>
    </w:rPr>
  </w:style>
  <w:style w:type="paragraph" w:styleId="CommentText">
    <w:name w:val="annotation text"/>
    <w:basedOn w:val="Normal"/>
    <w:link w:val="Char3"/>
    <w:uiPriority w:val="99"/>
    <w:qFormat/>
    <w:pPr>
      <w:jc w:val="left"/>
    </w:pPr>
    <w:rPr>
      <w:rFonts w:ascii="Times New Roman" w:hAnsi="Times New Roman"/>
      <w:kern w:val="0"/>
      <w:sz w:val="20"/>
      <w:szCs w:val="24"/>
    </w:rPr>
  </w:style>
  <w:style w:type="paragraph" w:styleId="Index6">
    <w:name w:val="index 6"/>
    <w:basedOn w:val="Normal"/>
    <w:next w:val="Normal"/>
    <w:uiPriority w:val="99"/>
    <w:unhideWhenUsed/>
    <w:qFormat/>
    <w:pPr>
      <w:ind w:left="1000" w:leftChars="1000"/>
    </w:pPr>
  </w:style>
  <w:style w:type="paragraph" w:styleId="Salutation">
    <w:name w:val="Salutation"/>
    <w:basedOn w:val="Normal"/>
    <w:next w:val="Normal"/>
    <w:link w:val="Char4"/>
    <w:uiPriority w:val="99"/>
    <w:unhideWhenUsed/>
    <w:qFormat/>
  </w:style>
  <w:style w:type="paragraph" w:styleId="BodyText3">
    <w:name w:val="Body Text 3"/>
    <w:basedOn w:val="Normal"/>
    <w:link w:val="3Char0"/>
    <w:uiPriority w:val="99"/>
    <w:unhideWhenUsed/>
    <w:qFormat/>
    <w:pPr>
      <w:spacing w:after="120"/>
    </w:pPr>
    <w:rPr>
      <w:sz w:val="16"/>
      <w:szCs w:val="16"/>
    </w:rPr>
  </w:style>
  <w:style w:type="paragraph" w:styleId="Closing">
    <w:name w:val="Closing"/>
    <w:basedOn w:val="Normal"/>
    <w:link w:val="Char5"/>
    <w:uiPriority w:val="99"/>
    <w:unhideWhenUsed/>
    <w:qFormat/>
    <w:pPr>
      <w:ind w:left="100" w:leftChars="2100"/>
    </w:pPr>
  </w:style>
  <w:style w:type="paragraph" w:styleId="ListBullet3">
    <w:name w:val="List Bullet 3"/>
    <w:basedOn w:val="Normal"/>
    <w:uiPriority w:val="99"/>
    <w:unhideWhenUsed/>
    <w:qFormat/>
    <w:pPr>
      <w:numPr>
        <w:ilvl w:val="0"/>
        <w:numId w:val="5"/>
      </w:numPr>
      <w:contextualSpacing/>
    </w:pPr>
  </w:style>
  <w:style w:type="paragraph" w:styleId="BodyText">
    <w:name w:val="Body Text"/>
    <w:basedOn w:val="Normal"/>
    <w:link w:val="Char6"/>
    <w:qFormat/>
    <w:pPr>
      <w:shd w:val="clear" w:color="auto" w:fill="FFFFFF"/>
      <w:spacing w:line="405" w:lineRule="exact"/>
      <w:jc w:val="distribute"/>
    </w:pPr>
    <w:rPr>
      <w:rFonts w:ascii="宋体" w:hAnsi="Times New Roman"/>
      <w:kern w:val="0"/>
      <w:sz w:val="18"/>
      <w:szCs w:val="18"/>
    </w:rPr>
  </w:style>
  <w:style w:type="paragraph" w:styleId="BodyTextIndent">
    <w:name w:val="Body Text Indent"/>
    <w:basedOn w:val="Normal"/>
    <w:link w:val="Char7"/>
    <w:uiPriority w:val="99"/>
    <w:unhideWhenUsed/>
    <w:qFormat/>
    <w:pPr>
      <w:spacing w:after="120"/>
      <w:ind w:left="420" w:leftChars="200"/>
    </w:pPr>
  </w:style>
  <w:style w:type="paragraph" w:styleId="ListNumber3">
    <w:name w:val="List Number 3"/>
    <w:basedOn w:val="Normal"/>
    <w:uiPriority w:val="99"/>
    <w:unhideWhenUsed/>
    <w:qFormat/>
    <w:pPr>
      <w:numPr>
        <w:ilvl w:val="0"/>
        <w:numId w:val="6"/>
      </w:numPr>
      <w:contextualSpacing/>
    </w:pPr>
  </w:style>
  <w:style w:type="paragraph" w:styleId="List2">
    <w:name w:val="List 2"/>
    <w:basedOn w:val="Normal"/>
    <w:uiPriority w:val="99"/>
    <w:unhideWhenUsed/>
    <w:qFormat/>
    <w:pPr>
      <w:ind w:left="100" w:hanging="200" w:leftChars="200" w:hangingChars="200"/>
      <w:contextualSpacing/>
    </w:pPr>
  </w:style>
  <w:style w:type="paragraph" w:styleId="ListContinue">
    <w:name w:val="List Continue"/>
    <w:basedOn w:val="Normal"/>
    <w:uiPriority w:val="99"/>
    <w:unhideWhenUsed/>
    <w:qFormat/>
    <w:pPr>
      <w:spacing w:after="120"/>
      <w:ind w:left="420" w:leftChars="200"/>
      <w:contextualSpacing/>
    </w:pPr>
  </w:style>
  <w:style w:type="paragraph" w:styleId="BlockText">
    <w:name w:val="Block Text"/>
    <w:basedOn w:val="Normal"/>
    <w:uiPriority w:val="99"/>
    <w:unhideWhenUsed/>
    <w:qFormat/>
    <w:pPr>
      <w:spacing w:after="120"/>
      <w:ind w:left="1440" w:right="1440" w:leftChars="700" w:rightChars="700"/>
    </w:pPr>
  </w:style>
  <w:style w:type="paragraph" w:styleId="ListBullet2">
    <w:name w:val="List Bullet 2"/>
    <w:basedOn w:val="Normal"/>
    <w:uiPriority w:val="99"/>
    <w:unhideWhenUsed/>
    <w:qFormat/>
    <w:pPr>
      <w:numPr>
        <w:ilvl w:val="0"/>
        <w:numId w:val="7"/>
      </w:numPr>
      <w:contextualSpacing/>
    </w:pPr>
  </w:style>
  <w:style w:type="paragraph" w:styleId="HTMLAddress">
    <w:name w:val="HTML Address"/>
    <w:basedOn w:val="Normal"/>
    <w:link w:val="HTMLChar"/>
    <w:uiPriority w:val="99"/>
    <w:unhideWhenUsed/>
    <w:qFormat/>
    <w:rPr>
      <w:i/>
      <w:iCs/>
    </w:rPr>
  </w:style>
  <w:style w:type="paragraph" w:styleId="Index4">
    <w:name w:val="index 4"/>
    <w:basedOn w:val="Normal"/>
    <w:next w:val="Normal"/>
    <w:uiPriority w:val="99"/>
    <w:unhideWhenUsed/>
    <w:qFormat/>
    <w:pPr>
      <w:ind w:left="600" w:leftChars="600"/>
    </w:pPr>
  </w:style>
  <w:style w:type="paragraph" w:styleId="TOC5">
    <w:name w:val="toc 5"/>
    <w:basedOn w:val="Normal"/>
    <w:next w:val="Normal"/>
    <w:uiPriority w:val="39"/>
    <w:unhideWhenUsed/>
    <w:qFormat/>
    <w:pPr>
      <w:ind w:left="1680" w:leftChars="800"/>
    </w:pPr>
  </w:style>
  <w:style w:type="paragraph" w:styleId="TOC3">
    <w:name w:val="toc 3"/>
    <w:basedOn w:val="Normal"/>
    <w:next w:val="Normal"/>
    <w:uiPriority w:val="39"/>
    <w:unhideWhenUsed/>
    <w:qFormat/>
    <w:pPr>
      <w:ind w:left="840" w:leftChars="400"/>
    </w:pPr>
  </w:style>
  <w:style w:type="paragraph" w:styleId="PlainText">
    <w:name w:val="Plain Text"/>
    <w:basedOn w:val="Normal"/>
    <w:link w:val="Char8"/>
    <w:qFormat/>
    <w:rPr>
      <w:rFonts w:ascii="宋体" w:hAnsi="Courier New"/>
      <w:kern w:val="0"/>
      <w:sz w:val="20"/>
      <w:szCs w:val="21"/>
    </w:rPr>
  </w:style>
  <w:style w:type="paragraph" w:styleId="ListBullet5">
    <w:name w:val="List Bullet 5"/>
    <w:basedOn w:val="Normal"/>
    <w:uiPriority w:val="99"/>
    <w:unhideWhenUsed/>
    <w:qFormat/>
    <w:pPr>
      <w:numPr>
        <w:ilvl w:val="0"/>
        <w:numId w:val="8"/>
      </w:numPr>
      <w:contextualSpacing/>
    </w:pPr>
  </w:style>
  <w:style w:type="paragraph" w:styleId="ListNumber4">
    <w:name w:val="List Number 4"/>
    <w:basedOn w:val="Normal"/>
    <w:uiPriority w:val="99"/>
    <w:unhideWhenUsed/>
    <w:qFormat/>
    <w:pPr>
      <w:numPr>
        <w:ilvl w:val="0"/>
        <w:numId w:val="9"/>
      </w:numPr>
      <w:contextualSpacing/>
    </w:pPr>
  </w:style>
  <w:style w:type="paragraph" w:styleId="TOC8">
    <w:name w:val="toc 8"/>
    <w:basedOn w:val="Normal"/>
    <w:next w:val="Normal"/>
    <w:uiPriority w:val="39"/>
    <w:unhideWhenUsed/>
    <w:qFormat/>
    <w:pPr>
      <w:ind w:left="2940" w:leftChars="1400"/>
    </w:pPr>
  </w:style>
  <w:style w:type="paragraph" w:styleId="Index3">
    <w:name w:val="index 3"/>
    <w:basedOn w:val="Normal"/>
    <w:next w:val="Normal"/>
    <w:uiPriority w:val="99"/>
    <w:unhideWhenUsed/>
    <w:qFormat/>
    <w:pPr>
      <w:ind w:left="400" w:leftChars="400"/>
    </w:pPr>
  </w:style>
  <w:style w:type="paragraph" w:styleId="Date">
    <w:name w:val="Date"/>
    <w:basedOn w:val="Normal"/>
    <w:next w:val="Normal"/>
    <w:link w:val="Char9"/>
    <w:uiPriority w:val="99"/>
    <w:unhideWhenUsed/>
    <w:qFormat/>
    <w:pPr>
      <w:ind w:left="100" w:leftChars="2500"/>
    </w:pPr>
  </w:style>
  <w:style w:type="paragraph" w:styleId="BodyTextIndent2">
    <w:name w:val="Body Text Indent 2"/>
    <w:basedOn w:val="Normal"/>
    <w:link w:val="2Char0"/>
    <w:uiPriority w:val="99"/>
    <w:unhideWhenUsed/>
    <w:qFormat/>
    <w:pPr>
      <w:spacing w:after="120" w:line="480" w:lineRule="auto"/>
      <w:ind w:left="420" w:leftChars="200"/>
    </w:pPr>
  </w:style>
  <w:style w:type="paragraph" w:styleId="EndnoteText">
    <w:name w:val="endnote text"/>
    <w:basedOn w:val="Normal"/>
    <w:link w:val="Char10"/>
    <w:uiPriority w:val="99"/>
    <w:unhideWhenUsed/>
    <w:qFormat/>
    <w:pPr>
      <w:snapToGrid w:val="0"/>
      <w:jc w:val="left"/>
    </w:pPr>
  </w:style>
  <w:style w:type="paragraph" w:styleId="ListContinue5">
    <w:name w:val="List Continue 5"/>
    <w:basedOn w:val="Normal"/>
    <w:uiPriority w:val="99"/>
    <w:unhideWhenUsed/>
    <w:qFormat/>
    <w:pPr>
      <w:spacing w:after="120"/>
      <w:ind w:left="2100" w:leftChars="1000"/>
      <w:contextualSpacing/>
    </w:pPr>
  </w:style>
  <w:style w:type="paragraph" w:styleId="BalloonText">
    <w:name w:val="Balloon Text"/>
    <w:basedOn w:val="Normal"/>
    <w:link w:val="Char11"/>
    <w:uiPriority w:val="99"/>
    <w:unhideWhenUsed/>
    <w:qFormat/>
    <w:rPr>
      <w:kern w:val="0"/>
      <w:sz w:val="18"/>
      <w:szCs w:val="18"/>
    </w:rPr>
  </w:style>
  <w:style w:type="paragraph" w:styleId="Footer">
    <w:name w:val="footer"/>
    <w:basedOn w:val="Normal"/>
    <w:link w:val="Char12"/>
    <w:uiPriority w:val="99"/>
    <w:unhideWhenUsed/>
    <w:qFormat/>
    <w:pPr>
      <w:tabs>
        <w:tab w:val="center" w:pos="4153"/>
        <w:tab w:val="right" w:pos="8306"/>
      </w:tabs>
      <w:snapToGrid w:val="0"/>
      <w:jc w:val="left"/>
    </w:pPr>
    <w:rPr>
      <w:kern w:val="0"/>
      <w:sz w:val="18"/>
      <w:szCs w:val="18"/>
    </w:rPr>
  </w:style>
  <w:style w:type="paragraph" w:styleId="EnvelopeReturn">
    <w:name w:val="envelope return"/>
    <w:basedOn w:val="Normal"/>
    <w:uiPriority w:val="99"/>
    <w:unhideWhenUsed/>
    <w:qFormat/>
    <w:pPr>
      <w:snapToGrid w:val="0"/>
    </w:pPr>
    <w:rPr>
      <w:rFonts w:ascii="Cambria" w:eastAsia="宋体" w:hAnsi="Cambria" w:cs="Times New Roman"/>
    </w:rPr>
  </w:style>
  <w:style w:type="paragraph" w:styleId="Header">
    <w:name w:val="header"/>
    <w:basedOn w:val="Normal"/>
    <w:link w:val="Char13"/>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Signature">
    <w:name w:val="Signature"/>
    <w:basedOn w:val="Normal"/>
    <w:link w:val="Char14"/>
    <w:uiPriority w:val="99"/>
    <w:unhideWhenUsed/>
    <w:qFormat/>
    <w:pPr>
      <w:ind w:left="100" w:leftChars="2100"/>
    </w:pPr>
  </w:style>
  <w:style w:type="paragraph" w:styleId="TOC1">
    <w:name w:val="toc 1"/>
    <w:basedOn w:val="Normal"/>
    <w:next w:val="Normal"/>
    <w:uiPriority w:val="39"/>
    <w:unhideWhenUsed/>
    <w:qFormat/>
  </w:style>
  <w:style w:type="paragraph" w:styleId="ListContinue4">
    <w:name w:val="List Continue 4"/>
    <w:basedOn w:val="Normal"/>
    <w:uiPriority w:val="99"/>
    <w:unhideWhenUsed/>
    <w:qFormat/>
    <w:pPr>
      <w:spacing w:after="120"/>
      <w:ind w:left="1680" w:leftChars="800"/>
      <w:contextualSpacing/>
    </w:pPr>
  </w:style>
  <w:style w:type="paragraph" w:styleId="TOC4">
    <w:name w:val="toc 4"/>
    <w:basedOn w:val="Normal"/>
    <w:next w:val="Normal"/>
    <w:uiPriority w:val="39"/>
    <w:unhideWhenUsed/>
    <w:qFormat/>
    <w:pPr>
      <w:ind w:left="1260" w:leftChars="600"/>
    </w:pPr>
  </w:style>
  <w:style w:type="paragraph" w:styleId="IndexHeading">
    <w:name w:val="index heading"/>
    <w:basedOn w:val="Normal"/>
    <w:next w:val="Index1"/>
    <w:uiPriority w:val="99"/>
    <w:unhideWhenUsed/>
    <w:qFormat/>
    <w:rPr>
      <w:rFonts w:ascii="Cambria" w:eastAsia="宋体" w:hAnsi="Cambria" w:cs="Times New Roman"/>
      <w:b/>
      <w:bCs/>
    </w:rPr>
  </w:style>
  <w:style w:type="paragraph" w:styleId="Index1">
    <w:name w:val="index 1"/>
    <w:basedOn w:val="Normal"/>
    <w:next w:val="Normal"/>
    <w:uiPriority w:val="99"/>
    <w:unhideWhenUsed/>
    <w:qFormat/>
  </w:style>
  <w:style w:type="paragraph" w:styleId="Subtitle">
    <w:name w:val="Subtitle"/>
    <w:basedOn w:val="Normal"/>
    <w:next w:val="Normal"/>
    <w:link w:val="Char15"/>
    <w:uiPriority w:val="11"/>
    <w:qFormat/>
    <w:pPr>
      <w:spacing w:before="240" w:after="60" w:line="312" w:lineRule="auto"/>
      <w:jc w:val="center"/>
      <w:outlineLvl w:val="1"/>
    </w:pPr>
    <w:rPr>
      <w:rFonts w:ascii="Cambria" w:hAnsi="Cambria" w:cs="Times New Roman"/>
      <w:b/>
      <w:bCs/>
      <w:kern w:val="28"/>
      <w:sz w:val="32"/>
      <w:szCs w:val="32"/>
    </w:rPr>
  </w:style>
  <w:style w:type="paragraph" w:styleId="ListNumber5">
    <w:name w:val="List Number 5"/>
    <w:basedOn w:val="Normal"/>
    <w:uiPriority w:val="99"/>
    <w:unhideWhenUsed/>
    <w:qFormat/>
    <w:pPr>
      <w:numPr>
        <w:ilvl w:val="0"/>
        <w:numId w:val="10"/>
      </w:numPr>
      <w:contextualSpacing/>
    </w:pPr>
  </w:style>
  <w:style w:type="paragraph" w:styleId="List">
    <w:name w:val="List"/>
    <w:basedOn w:val="Normal"/>
    <w:uiPriority w:val="99"/>
    <w:unhideWhenUsed/>
    <w:qFormat/>
    <w:pPr>
      <w:ind w:left="200" w:hanging="200" w:hangingChars="200"/>
      <w:contextualSpacing/>
    </w:pPr>
  </w:style>
  <w:style w:type="paragraph" w:styleId="FootnoteText">
    <w:name w:val="footnote text"/>
    <w:basedOn w:val="Normal"/>
    <w:link w:val="Char16"/>
    <w:uiPriority w:val="99"/>
    <w:unhideWhenUsed/>
    <w:qFormat/>
    <w:pPr>
      <w:snapToGrid w:val="0"/>
      <w:jc w:val="left"/>
    </w:pPr>
    <w:rPr>
      <w:sz w:val="18"/>
      <w:szCs w:val="18"/>
    </w:rPr>
  </w:style>
  <w:style w:type="paragraph" w:styleId="TOC6">
    <w:name w:val="toc 6"/>
    <w:basedOn w:val="Normal"/>
    <w:next w:val="Normal"/>
    <w:uiPriority w:val="39"/>
    <w:unhideWhenUsed/>
    <w:qFormat/>
    <w:pPr>
      <w:ind w:left="2100" w:leftChars="1000"/>
    </w:pPr>
  </w:style>
  <w:style w:type="paragraph" w:styleId="List5">
    <w:name w:val="List 5"/>
    <w:basedOn w:val="Normal"/>
    <w:uiPriority w:val="99"/>
    <w:unhideWhenUsed/>
    <w:qFormat/>
    <w:pPr>
      <w:ind w:left="100" w:hanging="200" w:leftChars="800" w:hangingChars="200"/>
      <w:contextualSpacing/>
    </w:pPr>
  </w:style>
  <w:style w:type="paragraph" w:styleId="BodyTextIndent3">
    <w:name w:val="Body Text Indent 3"/>
    <w:basedOn w:val="Normal"/>
    <w:link w:val="3Char1"/>
    <w:uiPriority w:val="99"/>
    <w:unhideWhenUsed/>
    <w:qFormat/>
    <w:pPr>
      <w:spacing w:after="120"/>
      <w:ind w:left="420" w:leftChars="200"/>
    </w:pPr>
    <w:rPr>
      <w:sz w:val="16"/>
      <w:szCs w:val="16"/>
    </w:rPr>
  </w:style>
  <w:style w:type="paragraph" w:styleId="Index7">
    <w:name w:val="index 7"/>
    <w:basedOn w:val="Normal"/>
    <w:next w:val="Normal"/>
    <w:uiPriority w:val="99"/>
    <w:unhideWhenUsed/>
    <w:qFormat/>
    <w:pPr>
      <w:ind w:left="1200" w:leftChars="1200"/>
    </w:pPr>
  </w:style>
  <w:style w:type="paragraph" w:styleId="Index9">
    <w:name w:val="index 9"/>
    <w:basedOn w:val="Normal"/>
    <w:next w:val="Normal"/>
    <w:uiPriority w:val="99"/>
    <w:unhideWhenUsed/>
    <w:qFormat/>
    <w:pPr>
      <w:ind w:left="1600" w:leftChars="1600"/>
    </w:pPr>
  </w:style>
  <w:style w:type="paragraph" w:styleId="TableofFigures">
    <w:name w:val="table of figures"/>
    <w:basedOn w:val="Normal"/>
    <w:next w:val="Normal"/>
    <w:uiPriority w:val="99"/>
    <w:unhideWhenUsed/>
    <w:qFormat/>
    <w:pPr>
      <w:ind w:hanging="200" w:leftChars="200" w:hangingChars="200"/>
    </w:pPr>
  </w:style>
  <w:style w:type="paragraph" w:styleId="TOC2">
    <w:name w:val="toc 2"/>
    <w:basedOn w:val="Normal"/>
    <w:next w:val="Normal"/>
    <w:uiPriority w:val="39"/>
    <w:unhideWhenUsed/>
    <w:qFormat/>
    <w:pPr>
      <w:ind w:left="420" w:leftChars="200"/>
    </w:pPr>
  </w:style>
  <w:style w:type="paragraph" w:styleId="TOC9">
    <w:name w:val="toc 9"/>
    <w:basedOn w:val="Normal"/>
    <w:next w:val="Normal"/>
    <w:uiPriority w:val="39"/>
    <w:unhideWhenUsed/>
    <w:qFormat/>
    <w:pPr>
      <w:ind w:left="3360" w:leftChars="1600"/>
    </w:pPr>
  </w:style>
  <w:style w:type="paragraph" w:styleId="BodyText2">
    <w:name w:val="Body Text 2"/>
    <w:basedOn w:val="Normal"/>
    <w:link w:val="2Char1"/>
    <w:uiPriority w:val="99"/>
    <w:unhideWhenUsed/>
    <w:qFormat/>
    <w:pPr>
      <w:spacing w:after="120" w:line="480" w:lineRule="auto"/>
    </w:pPr>
  </w:style>
  <w:style w:type="paragraph" w:styleId="List4">
    <w:name w:val="List 4"/>
    <w:basedOn w:val="Normal"/>
    <w:uiPriority w:val="99"/>
    <w:unhideWhenUsed/>
    <w:qFormat/>
    <w:pPr>
      <w:ind w:left="100" w:hanging="200" w:leftChars="600" w:hangingChars="200"/>
      <w:contextualSpacing/>
    </w:pPr>
  </w:style>
  <w:style w:type="paragraph" w:styleId="ListContinue2">
    <w:name w:val="List Continue 2"/>
    <w:basedOn w:val="Normal"/>
    <w:uiPriority w:val="99"/>
    <w:unhideWhenUsed/>
    <w:qFormat/>
    <w:pPr>
      <w:spacing w:after="120"/>
      <w:ind w:left="840" w:leftChars="400"/>
      <w:contextualSpacing/>
    </w:pPr>
  </w:style>
  <w:style w:type="paragraph" w:styleId="MessageHeader">
    <w:name w:val="Message Header"/>
    <w:basedOn w:val="Normal"/>
    <w:link w:val="Char17"/>
    <w:uiPriority w:val="99"/>
    <w:unhideWhenUsed/>
    <w:qFormat/>
    <w:pPr>
      <w:pBdr>
        <w:top w:val="single" w:sz="6" w:space="1" w:color="auto"/>
        <w:left w:val="single" w:sz="6" w:space="1" w:color="auto"/>
        <w:bottom w:val="single" w:sz="6" w:space="1" w:color="auto"/>
        <w:right w:val="single" w:sz="6" w:space="1" w:color="auto"/>
      </w:pBdr>
      <w:shd w:val="pct20" w:color="auto" w:fill="auto"/>
      <w:ind w:left="1080" w:hanging="1080" w:leftChars="500" w:hangingChars="500"/>
    </w:pPr>
    <w:rPr>
      <w:rFonts w:ascii="Cambria" w:eastAsia="宋体" w:hAnsi="Cambria" w:cs="Times New Roman"/>
      <w:sz w:val="24"/>
      <w:szCs w:val="24"/>
    </w:rPr>
  </w:style>
  <w:style w:type="paragraph" w:styleId="HTMLPreformatted">
    <w:name w:val="HTML Preformatted"/>
    <w:basedOn w:val="Normal"/>
    <w:link w:val="HTMLChar0"/>
    <w:uiPriority w:val="99"/>
    <w:unhideWhenUsed/>
    <w:qFormat/>
    <w:rPr>
      <w:rFonts w:ascii="Courier New" w:hAnsi="Courier New" w:cs="Courier New"/>
      <w:sz w:val="20"/>
      <w:szCs w:val="20"/>
    </w:rPr>
  </w:style>
  <w:style w:type="paragraph" w:styleId="NormalWeb">
    <w:name w:val="Normal (Web)"/>
    <w:basedOn w:val="Normal"/>
    <w:link w:val="Char18"/>
    <w:uiPriority w:val="99"/>
    <w:qFormat/>
    <w:pPr>
      <w:widowControl/>
      <w:spacing w:before="30" w:after="30" w:line="300" w:lineRule="auto"/>
      <w:jc w:val="left"/>
    </w:pPr>
    <w:rPr>
      <w:rFonts w:ascii="宋体" w:hAnsi="宋体"/>
      <w:kern w:val="0"/>
      <w:sz w:val="24"/>
      <w:szCs w:val="24"/>
    </w:rPr>
  </w:style>
  <w:style w:type="paragraph" w:styleId="ListContinue3">
    <w:name w:val="List Continue 3"/>
    <w:basedOn w:val="Normal"/>
    <w:uiPriority w:val="99"/>
    <w:unhideWhenUsed/>
    <w:qFormat/>
    <w:pPr>
      <w:spacing w:after="120"/>
      <w:ind w:left="1260" w:leftChars="600"/>
      <w:contextualSpacing/>
    </w:pPr>
  </w:style>
  <w:style w:type="paragraph" w:styleId="Index2">
    <w:name w:val="index 2"/>
    <w:basedOn w:val="Normal"/>
    <w:next w:val="Normal"/>
    <w:uiPriority w:val="99"/>
    <w:unhideWhenUsed/>
    <w:qFormat/>
    <w:pPr>
      <w:ind w:left="200" w:leftChars="200"/>
    </w:pPr>
  </w:style>
  <w:style w:type="paragraph" w:styleId="Title">
    <w:name w:val="Title"/>
    <w:basedOn w:val="Normal"/>
    <w:next w:val="Normal"/>
    <w:link w:val="Char19"/>
    <w:uiPriority w:val="10"/>
    <w:qFormat/>
    <w:pPr>
      <w:spacing w:before="240" w:after="60"/>
      <w:jc w:val="center"/>
      <w:outlineLvl w:val="0"/>
    </w:pPr>
    <w:rPr>
      <w:rFonts w:ascii="Cambria" w:hAnsi="Cambria" w:cs="Times New Roman"/>
      <w:b/>
      <w:bCs/>
      <w:sz w:val="32"/>
      <w:szCs w:val="32"/>
    </w:rPr>
  </w:style>
  <w:style w:type="paragraph" w:styleId="CommentSubject">
    <w:name w:val="annotation subject"/>
    <w:basedOn w:val="CommentText"/>
    <w:next w:val="CommentText"/>
    <w:link w:val="Char20"/>
    <w:uiPriority w:val="99"/>
    <w:unhideWhenUsed/>
    <w:qFormat/>
    <w:rPr>
      <w:b/>
      <w:bCs/>
      <w:kern w:val="2"/>
      <w:sz w:val="21"/>
      <w:szCs w:val="22"/>
    </w:rPr>
  </w:style>
  <w:style w:type="paragraph" w:styleId="BodyTextFirstIndent">
    <w:name w:val="Body Text First Indent"/>
    <w:basedOn w:val="BodyText"/>
    <w:link w:val="Char21"/>
    <w:uiPriority w:val="99"/>
    <w:unhideWhenUsed/>
    <w:qFormat/>
    <w:pPr>
      <w:shd w:val="clear" w:color="auto" w:fill="auto"/>
      <w:spacing w:after="120" w:line="240" w:lineRule="auto"/>
      <w:ind w:firstLine="420" w:firstLineChars="100"/>
      <w:jc w:val="both"/>
    </w:pPr>
    <w:rPr>
      <w:rFonts w:ascii="Calibri" w:hAnsi="Calibri"/>
      <w:kern w:val="2"/>
      <w:sz w:val="21"/>
      <w:szCs w:val="22"/>
    </w:rPr>
  </w:style>
  <w:style w:type="paragraph" w:styleId="BodyTextFirstIndent2">
    <w:name w:val="Body Text First Indent 2"/>
    <w:basedOn w:val="BodyTextIndent"/>
    <w:link w:val="2Char2"/>
    <w:uiPriority w:val="99"/>
    <w:unhideWhenUsed/>
    <w:qFormat/>
    <w:pPr>
      <w:ind w:firstLine="420" w:firstLineChars="200"/>
    </w:pPr>
  </w:style>
  <w:style w:type="table" w:styleId="TableGrid">
    <w:name w:val="Table Grid"/>
    <w:basedOn w:val="TableNormal"/>
    <w:uiPriority w:val="59"/>
    <w:qFormat/>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Pr>
      <w:sz w:val="21"/>
      <w:szCs w:val="21"/>
    </w:rPr>
  </w:style>
  <w:style w:type="character" w:customStyle="1" w:styleId="Char">
    <w:name w:val="宏文本 Char"/>
    <w:link w:val="Macro"/>
    <w:uiPriority w:val="99"/>
    <w:semiHidden/>
    <w:qFormat/>
    <w:rPr>
      <w:rFonts w:ascii="Courier New" w:hAnsi="Courier New" w:cs="Courier New"/>
      <w:kern w:val="2"/>
      <w:sz w:val="24"/>
      <w:szCs w:val="24"/>
    </w:rPr>
  </w:style>
  <w:style w:type="character" w:customStyle="1" w:styleId="1Char">
    <w:name w:val="标题 1 Char"/>
    <w:link w:val="Heading1"/>
    <w:uiPriority w:val="9"/>
    <w:qFormat/>
    <w:rPr>
      <w:b/>
      <w:bCs/>
      <w:kern w:val="44"/>
      <w:sz w:val="44"/>
      <w:szCs w:val="44"/>
    </w:rPr>
  </w:style>
  <w:style w:type="character" w:customStyle="1" w:styleId="2Char">
    <w:name w:val="标题 2 Char"/>
    <w:link w:val="Heading2"/>
    <w:uiPriority w:val="9"/>
    <w:semiHidden/>
    <w:qFormat/>
    <w:rPr>
      <w:rFonts w:ascii="Cambria" w:eastAsia="宋体" w:hAnsi="Cambria" w:cs="Times New Roman"/>
      <w:b/>
      <w:bCs/>
      <w:kern w:val="2"/>
      <w:sz w:val="32"/>
      <w:szCs w:val="32"/>
    </w:rPr>
  </w:style>
  <w:style w:type="character" w:customStyle="1" w:styleId="3Char">
    <w:name w:val="标题 3 Char"/>
    <w:link w:val="Heading3"/>
    <w:uiPriority w:val="9"/>
    <w:semiHidden/>
    <w:qFormat/>
    <w:rPr>
      <w:b/>
      <w:bCs/>
      <w:kern w:val="2"/>
      <w:sz w:val="32"/>
      <w:szCs w:val="32"/>
    </w:rPr>
  </w:style>
  <w:style w:type="character" w:customStyle="1" w:styleId="4Char">
    <w:name w:val="标题 4 Char"/>
    <w:link w:val="Heading4"/>
    <w:uiPriority w:val="9"/>
    <w:semiHidden/>
    <w:qFormat/>
    <w:rPr>
      <w:rFonts w:ascii="Cambria" w:eastAsia="宋体" w:hAnsi="Cambria" w:cs="Times New Roman"/>
      <w:b/>
      <w:bCs/>
      <w:kern w:val="2"/>
      <w:sz w:val="28"/>
      <w:szCs w:val="28"/>
    </w:rPr>
  </w:style>
  <w:style w:type="character" w:customStyle="1" w:styleId="5Char">
    <w:name w:val="标题 5 Char"/>
    <w:link w:val="Heading5"/>
    <w:uiPriority w:val="9"/>
    <w:semiHidden/>
    <w:qFormat/>
    <w:rPr>
      <w:b/>
      <w:bCs/>
      <w:kern w:val="2"/>
      <w:sz w:val="28"/>
      <w:szCs w:val="28"/>
    </w:rPr>
  </w:style>
  <w:style w:type="character" w:customStyle="1" w:styleId="6Char">
    <w:name w:val="标题 6 Char"/>
    <w:link w:val="Heading6"/>
    <w:uiPriority w:val="9"/>
    <w:semiHidden/>
    <w:qFormat/>
    <w:rPr>
      <w:rFonts w:ascii="Cambria" w:eastAsia="宋体" w:hAnsi="Cambria" w:cs="Times New Roman"/>
      <w:b/>
      <w:bCs/>
      <w:kern w:val="2"/>
      <w:sz w:val="24"/>
      <w:szCs w:val="24"/>
    </w:rPr>
  </w:style>
  <w:style w:type="character" w:customStyle="1" w:styleId="7Char">
    <w:name w:val="标题 7 Char"/>
    <w:link w:val="Heading7"/>
    <w:uiPriority w:val="9"/>
    <w:semiHidden/>
    <w:qFormat/>
    <w:rPr>
      <w:b/>
      <w:bCs/>
      <w:kern w:val="2"/>
      <w:sz w:val="24"/>
      <w:szCs w:val="24"/>
    </w:rPr>
  </w:style>
  <w:style w:type="character" w:customStyle="1" w:styleId="8Char">
    <w:name w:val="标题 8 Char"/>
    <w:link w:val="Heading8"/>
    <w:uiPriority w:val="9"/>
    <w:semiHidden/>
    <w:qFormat/>
    <w:rPr>
      <w:rFonts w:ascii="Cambria" w:eastAsia="宋体" w:hAnsi="Cambria" w:cs="Times New Roman"/>
      <w:kern w:val="2"/>
      <w:sz w:val="24"/>
      <w:szCs w:val="24"/>
    </w:rPr>
  </w:style>
  <w:style w:type="character" w:customStyle="1" w:styleId="9Char">
    <w:name w:val="标题 9 Char"/>
    <w:link w:val="Heading9"/>
    <w:uiPriority w:val="9"/>
    <w:semiHidden/>
    <w:qFormat/>
    <w:rPr>
      <w:rFonts w:ascii="Cambria" w:eastAsia="宋体" w:hAnsi="Cambria" w:cs="Times New Roman"/>
      <w:kern w:val="2"/>
      <w:sz w:val="21"/>
      <w:szCs w:val="21"/>
    </w:rPr>
  </w:style>
  <w:style w:type="character" w:customStyle="1" w:styleId="Char0">
    <w:name w:val="注释标题 Char"/>
    <w:link w:val="NoteHeading"/>
    <w:uiPriority w:val="99"/>
    <w:semiHidden/>
    <w:qFormat/>
    <w:rPr>
      <w:kern w:val="2"/>
      <w:sz w:val="21"/>
      <w:szCs w:val="22"/>
    </w:rPr>
  </w:style>
  <w:style w:type="character" w:customStyle="1" w:styleId="Char1">
    <w:name w:val="电子邮件签名 Char"/>
    <w:link w:val="E-mailSignature"/>
    <w:uiPriority w:val="99"/>
    <w:semiHidden/>
    <w:qFormat/>
    <w:rPr>
      <w:kern w:val="2"/>
      <w:sz w:val="21"/>
      <w:szCs w:val="22"/>
    </w:rPr>
  </w:style>
  <w:style w:type="character" w:customStyle="1" w:styleId="Char2">
    <w:name w:val="文档结构图 Char"/>
    <w:link w:val="DocumentMap"/>
    <w:uiPriority w:val="99"/>
    <w:semiHidden/>
    <w:qFormat/>
    <w:rPr>
      <w:rFonts w:ascii="宋体"/>
      <w:kern w:val="2"/>
      <w:sz w:val="18"/>
      <w:szCs w:val="18"/>
    </w:rPr>
  </w:style>
  <w:style w:type="character" w:customStyle="1" w:styleId="Char3">
    <w:name w:val="批注文字 Char"/>
    <w:link w:val="CommentText"/>
    <w:uiPriority w:val="99"/>
    <w:qFormat/>
    <w:rPr>
      <w:rFonts w:ascii="Times New Roman" w:eastAsia="宋体" w:hAnsi="Times New Roman" w:cs="Times New Roman"/>
      <w:szCs w:val="24"/>
    </w:rPr>
  </w:style>
  <w:style w:type="character" w:customStyle="1" w:styleId="Char4">
    <w:name w:val="称呼 Char"/>
    <w:link w:val="Salutation"/>
    <w:uiPriority w:val="99"/>
    <w:semiHidden/>
    <w:qFormat/>
    <w:rPr>
      <w:kern w:val="2"/>
      <w:sz w:val="21"/>
      <w:szCs w:val="22"/>
    </w:rPr>
  </w:style>
  <w:style w:type="character" w:customStyle="1" w:styleId="3Char0">
    <w:name w:val="正文文本 3 Char"/>
    <w:link w:val="BodyText3"/>
    <w:uiPriority w:val="99"/>
    <w:semiHidden/>
    <w:qFormat/>
    <w:rPr>
      <w:kern w:val="2"/>
      <w:sz w:val="16"/>
      <w:szCs w:val="16"/>
    </w:rPr>
  </w:style>
  <w:style w:type="character" w:customStyle="1" w:styleId="Char5">
    <w:name w:val="结束语 Char"/>
    <w:link w:val="Closing"/>
    <w:uiPriority w:val="99"/>
    <w:semiHidden/>
    <w:qFormat/>
    <w:rPr>
      <w:kern w:val="2"/>
      <w:sz w:val="21"/>
      <w:szCs w:val="22"/>
    </w:rPr>
  </w:style>
  <w:style w:type="character" w:customStyle="1" w:styleId="Char6">
    <w:name w:val="正文文本 Char"/>
    <w:link w:val="BodyText"/>
    <w:qFormat/>
    <w:rPr>
      <w:rFonts w:ascii="宋体" w:hAnsi="Times New Roman"/>
      <w:sz w:val="18"/>
      <w:szCs w:val="18"/>
      <w:shd w:val="clear" w:color="auto" w:fill="FFFFFF"/>
    </w:rPr>
  </w:style>
  <w:style w:type="character" w:customStyle="1" w:styleId="Char7">
    <w:name w:val="正文文本缩进 Char"/>
    <w:link w:val="BodyTextIndent"/>
    <w:uiPriority w:val="99"/>
    <w:semiHidden/>
    <w:qFormat/>
    <w:rPr>
      <w:kern w:val="2"/>
      <w:sz w:val="21"/>
      <w:szCs w:val="22"/>
    </w:rPr>
  </w:style>
  <w:style w:type="character" w:customStyle="1" w:styleId="HTMLChar">
    <w:name w:val="HTML 地址 Char"/>
    <w:link w:val="HTMLAddress"/>
    <w:uiPriority w:val="99"/>
    <w:semiHidden/>
    <w:qFormat/>
    <w:rPr>
      <w:i/>
      <w:iCs/>
      <w:kern w:val="2"/>
      <w:sz w:val="21"/>
      <w:szCs w:val="22"/>
    </w:rPr>
  </w:style>
  <w:style w:type="character" w:customStyle="1" w:styleId="Char8">
    <w:name w:val="纯文本 Char"/>
    <w:link w:val="PlainText"/>
    <w:qFormat/>
    <w:rPr>
      <w:rFonts w:ascii="宋体" w:eastAsia="宋体" w:hAnsi="Courier New" w:cs="Courier New"/>
      <w:szCs w:val="21"/>
    </w:rPr>
  </w:style>
  <w:style w:type="character" w:customStyle="1" w:styleId="Char9">
    <w:name w:val="日期 Char"/>
    <w:link w:val="Date"/>
    <w:uiPriority w:val="99"/>
    <w:semiHidden/>
    <w:qFormat/>
    <w:rPr>
      <w:kern w:val="2"/>
      <w:sz w:val="21"/>
      <w:szCs w:val="22"/>
    </w:rPr>
  </w:style>
  <w:style w:type="character" w:customStyle="1" w:styleId="2Char0">
    <w:name w:val="正文文本缩进 2 Char"/>
    <w:link w:val="BodyTextIndent2"/>
    <w:uiPriority w:val="99"/>
    <w:semiHidden/>
    <w:qFormat/>
    <w:rPr>
      <w:kern w:val="2"/>
      <w:sz w:val="21"/>
      <w:szCs w:val="22"/>
    </w:rPr>
  </w:style>
  <w:style w:type="character" w:customStyle="1" w:styleId="Char10">
    <w:name w:val="尾注文本 Char"/>
    <w:link w:val="EndnoteText"/>
    <w:uiPriority w:val="99"/>
    <w:semiHidden/>
    <w:qFormat/>
    <w:rPr>
      <w:kern w:val="2"/>
      <w:sz w:val="21"/>
      <w:szCs w:val="22"/>
    </w:rPr>
  </w:style>
  <w:style w:type="character" w:customStyle="1" w:styleId="Char11">
    <w:name w:val="批注框文本 Char"/>
    <w:link w:val="BalloonText"/>
    <w:uiPriority w:val="99"/>
    <w:semiHidden/>
    <w:qFormat/>
    <w:rPr>
      <w:sz w:val="18"/>
      <w:szCs w:val="18"/>
    </w:rPr>
  </w:style>
  <w:style w:type="character" w:customStyle="1" w:styleId="Char12">
    <w:name w:val="页脚 Char"/>
    <w:link w:val="Footer"/>
    <w:uiPriority w:val="99"/>
    <w:qFormat/>
    <w:rPr>
      <w:sz w:val="18"/>
      <w:szCs w:val="18"/>
    </w:rPr>
  </w:style>
  <w:style w:type="character" w:customStyle="1" w:styleId="Char13">
    <w:name w:val="页眉 Char"/>
    <w:link w:val="Header"/>
    <w:uiPriority w:val="99"/>
    <w:qFormat/>
    <w:rPr>
      <w:sz w:val="18"/>
      <w:szCs w:val="18"/>
    </w:rPr>
  </w:style>
  <w:style w:type="character" w:customStyle="1" w:styleId="Char14">
    <w:name w:val="签名 Char"/>
    <w:link w:val="Signature"/>
    <w:uiPriority w:val="99"/>
    <w:semiHidden/>
    <w:qFormat/>
    <w:rPr>
      <w:kern w:val="2"/>
      <w:sz w:val="21"/>
      <w:szCs w:val="22"/>
    </w:rPr>
  </w:style>
  <w:style w:type="character" w:customStyle="1" w:styleId="Char15">
    <w:name w:val="副标题 Char"/>
    <w:link w:val="Subtitle"/>
    <w:uiPriority w:val="11"/>
    <w:qFormat/>
    <w:rPr>
      <w:rFonts w:ascii="Cambria" w:hAnsi="Cambria" w:cs="Times New Roman"/>
      <w:b/>
      <w:bCs/>
      <w:kern w:val="28"/>
      <w:sz w:val="32"/>
      <w:szCs w:val="32"/>
    </w:rPr>
  </w:style>
  <w:style w:type="character" w:customStyle="1" w:styleId="Char16">
    <w:name w:val="脚注文本 Char"/>
    <w:link w:val="FootnoteText"/>
    <w:uiPriority w:val="99"/>
    <w:semiHidden/>
    <w:qFormat/>
    <w:rPr>
      <w:kern w:val="2"/>
      <w:sz w:val="18"/>
      <w:szCs w:val="18"/>
    </w:rPr>
  </w:style>
  <w:style w:type="character" w:customStyle="1" w:styleId="3Char1">
    <w:name w:val="正文文本缩进 3 Char"/>
    <w:link w:val="BodyTextIndent3"/>
    <w:uiPriority w:val="99"/>
    <w:semiHidden/>
    <w:qFormat/>
    <w:rPr>
      <w:kern w:val="2"/>
      <w:sz w:val="16"/>
      <w:szCs w:val="16"/>
    </w:rPr>
  </w:style>
  <w:style w:type="character" w:customStyle="1" w:styleId="2Char1">
    <w:name w:val="正文文本 2 Char"/>
    <w:link w:val="BodyText2"/>
    <w:uiPriority w:val="99"/>
    <w:semiHidden/>
    <w:qFormat/>
    <w:rPr>
      <w:kern w:val="2"/>
      <w:sz w:val="21"/>
      <w:szCs w:val="22"/>
    </w:rPr>
  </w:style>
  <w:style w:type="character" w:customStyle="1" w:styleId="Char17">
    <w:name w:val="信息标题 Char"/>
    <w:link w:val="MessageHeader"/>
    <w:uiPriority w:val="99"/>
    <w:semiHidden/>
    <w:qFormat/>
    <w:rPr>
      <w:rFonts w:ascii="Cambria" w:eastAsia="宋体" w:hAnsi="Cambria" w:cs="Times New Roman"/>
      <w:kern w:val="2"/>
      <w:sz w:val="24"/>
      <w:szCs w:val="24"/>
      <w:shd w:val="pct20" w:color="auto" w:fill="auto"/>
    </w:rPr>
  </w:style>
  <w:style w:type="character" w:customStyle="1" w:styleId="HTMLChar0">
    <w:name w:val="HTML 预设格式 Char"/>
    <w:link w:val="HTMLPreformatted"/>
    <w:uiPriority w:val="99"/>
    <w:semiHidden/>
    <w:qFormat/>
    <w:rPr>
      <w:rFonts w:ascii="Courier New" w:hAnsi="Courier New" w:cs="Courier New"/>
      <w:kern w:val="2"/>
    </w:rPr>
  </w:style>
  <w:style w:type="character" w:customStyle="1" w:styleId="Char18">
    <w:name w:val="普通(网站) Char"/>
    <w:link w:val="NormalWeb"/>
    <w:qFormat/>
    <w:rPr>
      <w:rFonts w:ascii="宋体" w:eastAsia="宋体" w:hAnsi="宋体" w:cs="宋体"/>
      <w:kern w:val="0"/>
      <w:sz w:val="24"/>
      <w:szCs w:val="24"/>
    </w:rPr>
  </w:style>
  <w:style w:type="character" w:customStyle="1" w:styleId="Char19">
    <w:name w:val="标题 Char"/>
    <w:link w:val="Title"/>
    <w:uiPriority w:val="10"/>
    <w:qFormat/>
    <w:rPr>
      <w:rFonts w:ascii="Cambria" w:hAnsi="Cambria" w:cs="Times New Roman"/>
      <w:b/>
      <w:bCs/>
      <w:kern w:val="2"/>
      <w:sz w:val="32"/>
      <w:szCs w:val="32"/>
    </w:rPr>
  </w:style>
  <w:style w:type="character" w:customStyle="1" w:styleId="Char20">
    <w:name w:val="批注主题 Char"/>
    <w:link w:val="CommentSubject"/>
    <w:uiPriority w:val="99"/>
    <w:semiHidden/>
    <w:qFormat/>
    <w:rPr>
      <w:rFonts w:ascii="Times New Roman" w:eastAsia="宋体" w:hAnsi="Times New Roman" w:cs="Times New Roman"/>
      <w:b/>
      <w:bCs/>
      <w:kern w:val="2"/>
      <w:sz w:val="21"/>
      <w:szCs w:val="22"/>
    </w:rPr>
  </w:style>
  <w:style w:type="character" w:customStyle="1" w:styleId="Char21">
    <w:name w:val="正文首行缩进 Char"/>
    <w:link w:val="BodyTextFirstIndent"/>
    <w:uiPriority w:val="99"/>
    <w:semiHidden/>
    <w:qFormat/>
    <w:rPr>
      <w:rFonts w:ascii="宋体" w:hAnsi="Times New Roman"/>
      <w:kern w:val="2"/>
      <w:sz w:val="21"/>
      <w:szCs w:val="22"/>
      <w:shd w:val="clear" w:color="auto" w:fill="FFFFFF"/>
    </w:rPr>
  </w:style>
  <w:style w:type="character" w:customStyle="1" w:styleId="2Char2">
    <w:name w:val="正文首行缩进 2 Char"/>
    <w:link w:val="BodyTextFirstIndent2"/>
    <w:uiPriority w:val="99"/>
    <w:semiHidden/>
    <w:qFormat/>
  </w:style>
  <w:style w:type="character" w:customStyle="1" w:styleId="pltixk">
    <w:name w:val="pl*tixk"/>
    <w:qFormat/>
  </w:style>
  <w:style w:type="paragraph" w:customStyle="1" w:styleId="1">
    <w:name w:val="列出段落1"/>
    <w:basedOn w:val="Normal"/>
    <w:qFormat/>
    <w:pPr>
      <w:ind w:firstLine="420" w:firstLineChars="200"/>
    </w:pPr>
    <w:rPr>
      <w:rFonts w:ascii="Calibri" w:eastAsia="宋体" w:hAnsi="Calibri" w:cs="Times New Roman"/>
      <w:szCs w:val="21"/>
    </w:rPr>
  </w:style>
  <w:style w:type="paragraph" w:customStyle="1" w:styleId="0">
    <w:name w:val="正文_0"/>
    <w:qFormat/>
    <w:pPr>
      <w:widowControl w:val="0"/>
      <w:jc w:val="both"/>
    </w:pPr>
    <w:rPr>
      <w:rFonts w:ascii="Calibri" w:eastAsia="宋体" w:hAnsi="Calibri" w:cs="Times New Roman"/>
      <w:kern w:val="2"/>
      <w:sz w:val="21"/>
      <w:szCs w:val="22"/>
      <w:lang w:val="en-US" w:eastAsia="zh-CN" w:bidi="ar-SA"/>
    </w:rPr>
  </w:style>
  <w:style w:type="paragraph" w:styleId="ListParagraph">
    <w:name w:val="List Paragraph"/>
    <w:basedOn w:val="Normal"/>
    <w:uiPriority w:val="34"/>
    <w:qFormat/>
    <w:pPr>
      <w:ind w:firstLine="420" w:firstLineChars="200"/>
    </w:pPr>
    <w:rPr>
      <w:rFonts w:ascii="Calibri" w:eastAsia="宋体" w:hAnsi="Calibri" w:cs="Times New Roman"/>
    </w:rPr>
  </w:style>
  <w:style w:type="paragraph" w:customStyle="1" w:styleId="DefaultParagraph">
    <w:name w:val="DefaultParagraph"/>
    <w:link w:val="DefaultParagraphCharChar"/>
    <w:qFormat/>
    <w:rPr>
      <w:rFonts w:ascii="Times New Roman" w:eastAsia="宋体" w:hAnsi="Calibri" w:cs="Times New Roman"/>
      <w:kern w:val="2"/>
      <w:sz w:val="21"/>
      <w:szCs w:val="22"/>
      <w:lang w:val="en-US" w:eastAsia="zh-CN" w:bidi="ar-SA"/>
    </w:rPr>
  </w:style>
  <w:style w:type="character" w:customStyle="1" w:styleId="DefaultParagraphCharChar">
    <w:name w:val="DefaultParagraph Char Char"/>
    <w:link w:val="DefaultParagraph"/>
    <w:qFormat/>
    <w:rPr>
      <w:rFonts w:ascii="Times New Roman"/>
      <w:kern w:val="2"/>
      <w:sz w:val="21"/>
      <w:szCs w:val="22"/>
    </w:rPr>
  </w:style>
  <w:style w:type="character" w:customStyle="1" w:styleId="tnude">
    <w:name w:val="tn+ude"/>
    <w:qFormat/>
  </w:style>
  <w:style w:type="paragraph" w:customStyle="1" w:styleId="00">
    <w:name w:val="纯文本_0"/>
    <w:basedOn w:val="Normal"/>
    <w:link w:val="1Char1"/>
    <w:qFormat/>
    <w:rPr>
      <w:rFonts w:ascii="宋体" w:hAnsi="Courier New"/>
      <w:kern w:val="0"/>
      <w:sz w:val="20"/>
      <w:szCs w:val="21"/>
    </w:rPr>
  </w:style>
  <w:style w:type="character" w:customStyle="1" w:styleId="1Char1">
    <w:name w:val="标题1 Char1"/>
    <w:link w:val="00"/>
    <w:qFormat/>
    <w:locked/>
    <w:rPr>
      <w:rFonts w:ascii="宋体" w:eastAsia="宋体" w:hAnsi="Courier New" w:cs="Courier New"/>
      <w:szCs w:val="21"/>
    </w:rPr>
  </w:style>
  <w:style w:type="paragraph" w:customStyle="1" w:styleId="Default">
    <w:name w:val="Default"/>
    <w:qFormat/>
    <w:pPr>
      <w:widowControl w:val="0"/>
      <w:autoSpaceDE w:val="0"/>
      <w:autoSpaceDN w:val="0"/>
      <w:adjustRightInd w:val="0"/>
    </w:pPr>
    <w:rPr>
      <w:rFonts w:ascii="Calibri" w:eastAsia="宋体" w:hAnsi="Calibri" w:cs="Times New Roman"/>
      <w:color w:val="000000"/>
      <w:sz w:val="24"/>
      <w:szCs w:val="24"/>
      <w:lang w:val="en-US" w:eastAsia="zh-CN" w:bidi="ar-SA"/>
    </w:rPr>
  </w:style>
  <w:style w:type="paragraph" w:customStyle="1" w:styleId="01">
    <w:name w:val="普通(网站)_0"/>
    <w:basedOn w:val="0"/>
    <w:link w:val="0Char"/>
    <w:qFormat/>
    <w:pPr>
      <w:widowControl/>
      <w:spacing w:before="100" w:beforeAutospacing="1" w:after="100" w:afterAutospacing="1"/>
      <w:jc w:val="left"/>
    </w:pPr>
    <w:rPr>
      <w:rFonts w:ascii="宋体" w:hAnsi="宋体"/>
      <w:kern w:val="0"/>
      <w:sz w:val="24"/>
      <w:szCs w:val="24"/>
    </w:rPr>
  </w:style>
  <w:style w:type="character" w:customStyle="1" w:styleId="0Char">
    <w:name w:val="普通(网站)_0 Char"/>
    <w:link w:val="01"/>
    <w:qFormat/>
    <w:locked/>
    <w:rPr>
      <w:rFonts w:ascii="宋体" w:hAnsi="宋体"/>
      <w:sz w:val="24"/>
      <w:szCs w:val="24"/>
    </w:rPr>
  </w:style>
  <w:style w:type="character" w:customStyle="1" w:styleId="0Char0">
    <w:name w:val="正文_0 Char"/>
    <w:link w:val="000"/>
    <w:qFormat/>
    <w:rPr>
      <w:kern w:val="2"/>
      <w:sz w:val="21"/>
      <w:szCs w:val="22"/>
    </w:rPr>
  </w:style>
  <w:style w:type="paragraph" w:customStyle="1" w:styleId="000">
    <w:name w:val="正文_0_0"/>
    <w:link w:val="0Char0"/>
    <w:qFormat/>
    <w:pPr>
      <w:widowControl w:val="0"/>
      <w:jc w:val="both"/>
    </w:pPr>
    <w:rPr>
      <w:rFonts w:ascii="Calibri" w:eastAsia="宋体" w:hAnsi="Calibri" w:cs="Times New Roman"/>
      <w:kern w:val="2"/>
      <w:sz w:val="21"/>
      <w:szCs w:val="22"/>
      <w:lang w:val="en-US" w:eastAsia="zh-CN" w:bidi="ar-SA"/>
    </w:rPr>
  </w:style>
  <w:style w:type="character" w:customStyle="1" w:styleId="jyemathselector">
    <w:name w:val="jye_math_selector"/>
    <w:qFormat/>
    <w:rPr>
      <w:rFonts w:ascii="Times New Roman" w:hAnsi="Times New Roman" w:cs="Times New Roman" w:hint="default"/>
    </w:rPr>
  </w:style>
  <w:style w:type="character" w:customStyle="1" w:styleId="apple-converted-space">
    <w:name w:val="apple-converted-space"/>
    <w:qFormat/>
  </w:style>
  <w:style w:type="paragraph" w:customStyle="1" w:styleId="Style146">
    <w:name w:val="_Style 146"/>
    <w:basedOn w:val="Heading1"/>
    <w:next w:val="Normal"/>
    <w:uiPriority w:val="39"/>
    <w:qFormat/>
    <w:pPr>
      <w:outlineLvl w:val="9"/>
    </w:pPr>
  </w:style>
  <w:style w:type="paragraph" w:styleId="IntenseQuote">
    <w:name w:val="Intense Quote"/>
    <w:basedOn w:val="Normal"/>
    <w:next w:val="Normal"/>
    <w:link w:val="Char22"/>
    <w:uiPriority w:val="30"/>
    <w:qFormat/>
    <w:pPr>
      <w:pBdr>
        <w:bottom w:val="single" w:sz="4" w:space="4" w:color="4F81BD"/>
      </w:pBdr>
      <w:spacing w:before="200" w:after="280"/>
      <w:ind w:left="936" w:right="936"/>
    </w:pPr>
    <w:rPr>
      <w:b/>
      <w:bCs/>
      <w:i/>
      <w:iCs/>
      <w:color w:val="4F81BD"/>
    </w:rPr>
  </w:style>
  <w:style w:type="character" w:customStyle="1" w:styleId="Char22">
    <w:name w:val="明显引用 Char"/>
    <w:link w:val="IntenseQuote"/>
    <w:uiPriority w:val="30"/>
    <w:qFormat/>
    <w:rPr>
      <w:b/>
      <w:bCs/>
      <w:i/>
      <w:iCs/>
      <w:color w:val="4F81BD"/>
      <w:kern w:val="2"/>
      <w:sz w:val="21"/>
      <w:szCs w:val="22"/>
    </w:rPr>
  </w:style>
  <w:style w:type="paragraph" w:customStyle="1" w:styleId="Style149">
    <w:name w:val="_Style 149"/>
    <w:basedOn w:val="Normal"/>
    <w:next w:val="Normal"/>
    <w:uiPriority w:val="37"/>
    <w:unhideWhenUsed/>
    <w:qFormat/>
  </w:style>
  <w:style w:type="paragraph" w:styleId="NoSpacing">
    <w:name w:val="No Spacing"/>
    <w:uiPriority w:val="1"/>
    <w:qFormat/>
    <w:pPr>
      <w:widowControl w:val="0"/>
      <w:jc w:val="both"/>
    </w:pPr>
    <w:rPr>
      <w:rFonts w:ascii="Calibri" w:eastAsia="宋体" w:hAnsi="Calibri" w:cs="Times New Roman"/>
      <w:kern w:val="2"/>
      <w:sz w:val="21"/>
      <w:szCs w:val="22"/>
      <w:lang w:val="en-US" w:eastAsia="zh-CN" w:bidi="ar-SA"/>
    </w:rPr>
  </w:style>
  <w:style w:type="paragraph" w:styleId="Quote">
    <w:name w:val="Quote"/>
    <w:basedOn w:val="Normal"/>
    <w:next w:val="Normal"/>
    <w:link w:val="Char23"/>
    <w:uiPriority w:val="29"/>
    <w:qFormat/>
    <w:rPr>
      <w:i/>
      <w:iCs/>
      <w:color w:val="000000"/>
    </w:rPr>
  </w:style>
  <w:style w:type="character" w:customStyle="1" w:styleId="Char23">
    <w:name w:val="引用 Char"/>
    <w:link w:val="Quote"/>
    <w:uiPriority w:val="29"/>
    <w:qFormat/>
    <w:rPr>
      <w:i/>
      <w:iCs/>
      <w:color w:val="000000"/>
      <w:kern w:val="2"/>
      <w:sz w:val="21"/>
      <w:szCs w:val="22"/>
    </w:rPr>
  </w:style>
  <w:style w:type="character" w:styleId="PlaceholderText">
    <w:name w:val="Placeholder Tex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footer2.xml.rels><?xml version="1.0" encoding="utf-8" standalone="yes"?><Relationships xmlns="http://schemas.openxmlformats.org/package/2006/relationships"><Relationship Id="rId1" Type="http://schemas.openxmlformats.org/officeDocument/2006/relationships/image" Target="media/image8.png" /><Relationship Id="rId2" Type="http://schemas.openxmlformats.org/officeDocument/2006/relationships/image" Target="media/image9.png" /><Relationship Id="rId3"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6.png" /></Relationships>
</file>

<file path=word/_rels/header2.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media/image8.png" /><Relationship Id="rId3" Type="http://schemas.openxmlformats.org/officeDocument/2006/relationships/image" Target="media/image9.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customShpInfo spid="_x0000_s2049"/>
    <customShpInfo spid="_x0000_s2066"/>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8405</Words>
  <Characters>8600</Characters>
  <Application>Microsoft Office Word</Application>
  <DocSecurity>0</DocSecurity>
  <Lines>44</Lines>
  <Paragraphs>12</Paragraphs>
  <ScaleCrop>false</ScaleCrop>
  <Company/>
  <LinksUpToDate>false</LinksUpToDate>
  <CharactersWithSpaces>8747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2018-04-24T08:46:00Z</dcterms:created>
  <dcterms:modified xsi:type="dcterms:W3CDTF">2025-04-18T08:54:55Z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