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2FF2">
      <w:pPr>
        <w:spacing w:line="360" w:lineRule="auto"/>
        <w:jc w:val="center"/>
        <w:textAlignment w:val="center"/>
        <w:rPr>
          <w:rFonts w:hint="eastAsia" w:ascii="微软雅黑" w:hAnsi="微软雅黑" w:eastAsia="微软雅黑" w:cs="微软雅黑"/>
          <w:b/>
          <w:bCs/>
          <w:sz w:val="40"/>
          <w:szCs w:val="44"/>
        </w:rPr>
      </w:pPr>
      <w:r>
        <w:rPr>
          <w:rFonts w:hint="eastAsia" w:ascii="微软雅黑" w:hAnsi="微软雅黑" w:eastAsia="微软雅黑" w:cs="微软雅黑"/>
          <w:b/>
          <w:bCs/>
          <w:sz w:val="40"/>
          <w:szCs w:val="44"/>
        </w:rPr>
        <w:drawing>
          <wp:anchor distT="0" distB="0" distL="114300" distR="114300" simplePos="0" relativeHeight="251659264" behindDoc="0" locked="0" layoutInCell="1" allowOverlap="1">
            <wp:simplePos x="0" y="0"/>
            <wp:positionH relativeFrom="page">
              <wp:posOffset>10655300</wp:posOffset>
            </wp:positionH>
            <wp:positionV relativeFrom="topMargin">
              <wp:posOffset>11569700</wp:posOffset>
            </wp:positionV>
            <wp:extent cx="317500" cy="279400"/>
            <wp:effectExtent l="0" t="0" r="635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317500" cy="279400"/>
                    </a:xfrm>
                    <a:prstGeom prst="rect">
                      <a:avLst/>
                    </a:prstGeom>
                  </pic:spPr>
                </pic:pic>
              </a:graphicData>
            </a:graphic>
          </wp:anchor>
        </w:drawing>
      </w:r>
      <w:r>
        <w:rPr>
          <w:rFonts w:hint="eastAsia" w:ascii="微软雅黑" w:hAnsi="微软雅黑" w:eastAsia="微软雅黑" w:cs="微软雅黑"/>
          <w:b/>
          <w:bCs/>
          <w:sz w:val="40"/>
          <w:szCs w:val="44"/>
        </w:rPr>
        <w:t>2025届高考考向核心卷</w:t>
      </w:r>
    </w:p>
    <w:p w14:paraId="39CDB93A">
      <w:pPr>
        <w:spacing w:line="360" w:lineRule="auto"/>
        <w:jc w:val="center"/>
        <w:textAlignment w:val="center"/>
        <w:rPr>
          <w:rFonts w:ascii="Times New Roman" w:hAnsi="Times New Roman"/>
          <w:b/>
          <w:sz w:val="32"/>
        </w:rPr>
      </w:pPr>
      <w:r>
        <w:rPr>
          <w:rFonts w:hint="eastAsia" w:ascii="Times New Roman" w:hAnsi="Times New Roman"/>
          <w:b/>
          <w:sz w:val="32"/>
        </w:rPr>
        <w:t xml:space="preserve">                        </w:t>
      </w:r>
      <w:r>
        <w:rPr>
          <w:rFonts w:hint="eastAsia" w:ascii="Times New Roman" w:hAnsi="Times New Roman"/>
          <w:b/>
          <w:sz w:val="32"/>
          <w:lang w:val="en-US" w:eastAsia="zh-CN"/>
        </w:rPr>
        <w:t>历史</w:t>
      </w:r>
      <w:bookmarkStart w:id="0" w:name="_GoBack"/>
      <w:bookmarkEnd w:id="0"/>
      <w:r>
        <w:rPr>
          <w:rFonts w:hint="eastAsia" w:ascii="Times New Roman" w:hAnsi="Times New Roman"/>
          <w:b/>
          <w:sz w:val="32"/>
        </w:rPr>
        <w:t xml:space="preserve">      </w:t>
      </w:r>
    </w:p>
    <w:p w14:paraId="69793274">
      <w:pPr>
        <w:pStyle w:val="16"/>
        <w:spacing w:line="360" w:lineRule="auto"/>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一、</w:t>
      </w:r>
      <w:r>
        <w:rPr>
          <w:rFonts w:hint="eastAsia" w:ascii="Times New Roman" w:hAnsi="Times New Roman" w:cs="Times New Roman"/>
          <w:b/>
          <w:bCs/>
          <w:color w:val="000000"/>
          <w:sz w:val="24"/>
          <w:szCs w:val="24"/>
        </w:rPr>
        <w:t>选择题Ⅰ：本题共</w:t>
      </w:r>
      <w:r>
        <w:rPr>
          <w:rFonts w:hint="eastAsia" w:ascii="Times New Roman" w:hAnsi="Times New Roman" w:cs="Times New Roman"/>
          <w:b/>
          <w:bCs/>
          <w:color w:val="000000"/>
          <w:sz w:val="24"/>
          <w:szCs w:val="24"/>
          <w:lang w:val="en-US" w:eastAsia="zh-CN"/>
        </w:rPr>
        <w:t>15</w:t>
      </w:r>
      <w:r>
        <w:rPr>
          <w:rFonts w:hint="eastAsia" w:ascii="Times New Roman" w:hAnsi="Times New Roman" w:cs="Times New Roman"/>
          <w:b/>
          <w:bCs/>
          <w:color w:val="000000"/>
          <w:sz w:val="24"/>
          <w:szCs w:val="24"/>
        </w:rPr>
        <w:t>小题，每小题</w:t>
      </w:r>
      <w:r>
        <w:rPr>
          <w:rFonts w:hint="eastAsia" w:ascii="Times New Roman" w:hAnsi="Times New Roman" w:cs="Times New Roman"/>
          <w:b/>
          <w:bCs/>
          <w:color w:val="000000"/>
          <w:sz w:val="24"/>
          <w:szCs w:val="24"/>
          <w:lang w:val="en-US" w:eastAsia="zh-CN"/>
        </w:rPr>
        <w:t>2</w:t>
      </w:r>
      <w:r>
        <w:rPr>
          <w:rFonts w:hint="eastAsia" w:ascii="Times New Roman" w:hAnsi="Times New Roman" w:cs="Times New Roman"/>
          <w:b/>
          <w:bCs/>
          <w:color w:val="000000"/>
          <w:sz w:val="24"/>
          <w:szCs w:val="24"/>
        </w:rPr>
        <w:t>分，共</w:t>
      </w:r>
      <w:r>
        <w:rPr>
          <w:rFonts w:hint="eastAsia" w:ascii="Times New Roman" w:hAnsi="Times New Roman" w:cs="Times New Roman"/>
          <w:b/>
          <w:bCs/>
          <w:color w:val="000000"/>
          <w:sz w:val="24"/>
          <w:szCs w:val="24"/>
          <w:lang w:val="en-US" w:eastAsia="zh-CN"/>
        </w:rPr>
        <w:t>30</w:t>
      </w:r>
      <w:r>
        <w:rPr>
          <w:rFonts w:hint="eastAsia" w:ascii="Times New Roman" w:hAnsi="Times New Roman" w:cs="Times New Roman"/>
          <w:b/>
          <w:bCs/>
          <w:color w:val="000000"/>
          <w:sz w:val="24"/>
          <w:szCs w:val="24"/>
        </w:rPr>
        <w:t>分。每小题列出的四个各选项中只有一个是符合题目要求的，不选、多选、错选均不得分。</w:t>
      </w:r>
    </w:p>
    <w:p w14:paraId="0182F93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1.20世纪70年代云梦睡虎地秦墓中出土了大量秦律，所见律名不下30种，甚至偷采了别人不值一钱的桑叶，或把人脸咬伤等小过错，都有相应的惩罚条文。这说明，秦律的基本特色是(   )</w:t>
      </w:r>
    </w:p>
    <w:p w14:paraId="4311C6B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A.细密详备</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B.轻罪重罚</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C.重法轻礼</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D.法律一统</w:t>
      </w:r>
    </w:p>
    <w:p w14:paraId="7170ECC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2.汉高祖二年诏</w:t>
      </w:r>
      <w:r>
        <w:rPr>
          <w:rFonts w:hint="eastAsia" w:ascii="宋体" w:hAnsi="宋体" w:eastAsia="宋体" w:cs="宋体"/>
          <w:color w:val="000000"/>
          <w:kern w:val="2"/>
          <w:sz w:val="24"/>
          <w:szCs w:val="24"/>
          <w:shd w:val="clear" w:color="auto" w:fill="FFFFFF"/>
          <w:lang w:eastAsia="zh-CN"/>
        </w:rPr>
        <w:t>：“举民年五十以上，有修行能帅众为善，置以为三老，乡一人。”汉宣帝提出：“导民以孝，则天下顺。”</w:t>
      </w:r>
      <w:r>
        <w:rPr>
          <w:rFonts w:hint="default" w:ascii="Times New Roman" w:hAnsi="Times New Roman" w:eastAsia="宋体" w:cs="Times New Roman"/>
          <w:color w:val="000000"/>
          <w:kern w:val="2"/>
          <w:sz w:val="24"/>
          <w:szCs w:val="24"/>
          <w:shd w:val="clear" w:color="auto" w:fill="FFFFFF"/>
          <w:lang w:eastAsia="zh-CN"/>
        </w:rPr>
        <w:t>这说明汉代(   )</w:t>
      </w:r>
    </w:p>
    <w:p w14:paraId="7AEB0F87">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A.重视基层社会教化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B.专制王权得到加强</w:t>
      </w:r>
    </w:p>
    <w:p w14:paraId="3C4F61F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C.统一了主流价值观</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D.社会矛盾日趋缓和</w:t>
      </w:r>
    </w:p>
    <w:p w14:paraId="209D952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3.唐代长安寺观多以种植某种名贵花卉而吸引大批民众，如晋昌坊大慈恩寺的牡丹。《唐语林》记载</w:t>
      </w:r>
      <w:r>
        <w:rPr>
          <w:rFonts w:hint="eastAsia" w:ascii="宋体" w:hAnsi="宋体" w:eastAsia="宋体" w:cs="宋体"/>
          <w:color w:val="000000"/>
          <w:kern w:val="2"/>
          <w:sz w:val="24"/>
          <w:szCs w:val="24"/>
          <w:shd w:val="clear" w:color="auto" w:fill="FFFFFF"/>
          <w:lang w:eastAsia="zh-CN"/>
        </w:rPr>
        <w:t>：“京师贵牡丹，佛宇、道观多游览者。慈恩浴室院有牡丹两丛，每开及五六百朵。”</w:t>
      </w:r>
      <w:r>
        <w:rPr>
          <w:rFonts w:hint="default" w:ascii="Times New Roman" w:hAnsi="Times New Roman" w:eastAsia="宋体" w:cs="Times New Roman"/>
          <w:color w:val="000000"/>
          <w:kern w:val="2"/>
          <w:sz w:val="24"/>
          <w:szCs w:val="24"/>
          <w:shd w:val="clear" w:color="auto" w:fill="FFFFFF"/>
          <w:lang w:eastAsia="zh-CN"/>
        </w:rPr>
        <w:t>由此可知，寺观为长安提供了(   )</w:t>
      </w:r>
    </w:p>
    <w:p w14:paraId="6895ED05">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A.政治礼仪空间</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B.文化娱乐场所</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C.学术交流平台</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D.大众消费市场</w:t>
      </w:r>
    </w:p>
    <w:p w14:paraId="37FE486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4.明清时期的乡里遵照地方政府的政令以管辖部民、完纳赋役、清查户籍、维持地方治安，同时对一些事关风化的民事纠纷，有权以乡约族规来处置，甚至可以判处族人死刑（如沉塘、压土袋等），不必经官。这体现出(   )</w:t>
      </w:r>
    </w:p>
    <w:p w14:paraId="605D470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A.国权不下县</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B.地方皆自治</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C.伦理造乡绅</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D.县下惟宗族</w:t>
      </w:r>
    </w:p>
    <w:p w14:paraId="4AA0060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5</w:t>
      </w:r>
      <w:r>
        <w:rPr>
          <w:rFonts w:hint="default" w:ascii="Times New Roman" w:hAnsi="Times New Roman" w:eastAsia="宋体" w:cs="Times New Roman"/>
          <w:color w:val="000000"/>
          <w:kern w:val="2"/>
          <w:sz w:val="24"/>
          <w:szCs w:val="24"/>
          <w:shd w:val="clear" w:color="auto" w:fill="FFFFFF"/>
          <w:lang w:eastAsia="zh-CN"/>
        </w:rPr>
        <w:t>.为了筹集甲午中日战争的战败赔款和修筑铁路的经费，盛宣怀奏请试设银行。光绪二十三年四月，经总理衙门许可，盛宣怀在上海设立了一家银行，并在汉口、广州、烟台、镇江、汕头等处设立分行。该银行(   )</w:t>
      </w:r>
    </w:p>
    <w:p w14:paraId="23F539B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①名为交通银行</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②是中国人自办的第一家银行</w:t>
      </w:r>
    </w:p>
    <w:p w14:paraId="2621154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③创办于1898年</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④体现了新的商业经营形式被引入中国</w:t>
      </w:r>
    </w:p>
    <w:p w14:paraId="72A829D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A.①③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B.①④</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C.②③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D.②④</w:t>
      </w:r>
    </w:p>
    <w:p w14:paraId="083DBE8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6</w:t>
      </w:r>
      <w:r>
        <w:rPr>
          <w:rFonts w:hint="default" w:ascii="Times New Roman" w:hAnsi="Times New Roman" w:eastAsia="宋体" w:cs="Times New Roman"/>
          <w:color w:val="000000"/>
          <w:kern w:val="2"/>
          <w:sz w:val="24"/>
          <w:szCs w:val="24"/>
          <w:shd w:val="clear" w:color="auto" w:fill="FFFFFF"/>
          <w:lang w:eastAsia="zh-CN"/>
        </w:rPr>
        <w:t>.1898年7月，英国驻北京公使窦纳乐这样评价当时中国的一项举措，</w:t>
      </w:r>
      <w:r>
        <w:rPr>
          <w:rFonts w:hint="eastAsia" w:ascii="宋体" w:hAnsi="宋体" w:eastAsia="宋体" w:cs="宋体"/>
          <w:color w:val="000000"/>
          <w:kern w:val="2"/>
          <w:sz w:val="24"/>
          <w:szCs w:val="24"/>
          <w:shd w:val="clear" w:color="auto" w:fill="FFFFFF"/>
          <w:lang w:eastAsia="zh-CN"/>
        </w:rPr>
        <w:t>“帝国内的大量学生多年所学一下子变成了没有用的学问，这种突然变革对于那些为科举考试常年准备的人来讲是不公平的，这样的做法会引起极大的不满。”这体现出当时的“突然变革”</w:t>
      </w:r>
      <w:r>
        <w:rPr>
          <w:rFonts w:hint="default" w:ascii="Times New Roman" w:hAnsi="Times New Roman" w:eastAsia="宋体" w:cs="Times New Roman"/>
          <w:color w:val="000000"/>
          <w:kern w:val="2"/>
          <w:sz w:val="24"/>
          <w:szCs w:val="24"/>
          <w:shd w:val="clear" w:color="auto" w:fill="FFFFFF"/>
          <w:lang w:eastAsia="zh-CN"/>
        </w:rPr>
        <w:t>具有(   )</w:t>
      </w:r>
    </w:p>
    <w:p w14:paraId="1BF7805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A.保守性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B.激进性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C.进步性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D.灵活性</w:t>
      </w:r>
    </w:p>
    <w:p w14:paraId="753B89F1">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7</w:t>
      </w:r>
      <w:r>
        <w:rPr>
          <w:rFonts w:hint="default" w:ascii="Times New Roman" w:hAnsi="Times New Roman" w:eastAsia="宋体" w:cs="Times New Roman"/>
          <w:color w:val="000000"/>
          <w:kern w:val="2"/>
          <w:sz w:val="24"/>
          <w:szCs w:val="24"/>
          <w:shd w:val="clear" w:color="auto" w:fill="FFFFFF"/>
          <w:lang w:eastAsia="zh-CN"/>
        </w:rPr>
        <w:t>.《义勇军进行曲》最早是电影《风云儿女》的主题曲。当时由田汉撰写歌词，聂耳为其谱曲。1935年5月10日，《义勇军进行曲》歌谱发表。1935年，一二</w:t>
      </w:r>
      <w:r>
        <w:rPr>
          <w:rFonts w:hint="eastAsia" w:ascii="Times New Roman" w:hAnsi="Times New Roman" w:cs="Times New Roman"/>
          <w:color w:val="000000"/>
          <w:kern w:val="2"/>
          <w:sz w:val="24"/>
          <w:szCs w:val="24"/>
          <w:shd w:val="clear" w:color="auto" w:fill="FFFFFF"/>
          <w:lang w:val="en-US" w:eastAsia="zh-CN"/>
        </w:rPr>
        <w:t>·</w:t>
      </w:r>
      <w:r>
        <w:rPr>
          <w:rFonts w:hint="default" w:ascii="Times New Roman" w:hAnsi="Times New Roman" w:eastAsia="宋体" w:cs="Times New Roman"/>
          <w:color w:val="000000"/>
          <w:kern w:val="2"/>
          <w:sz w:val="24"/>
          <w:szCs w:val="24"/>
          <w:shd w:val="clear" w:color="auto" w:fill="FFFFFF"/>
          <w:lang w:eastAsia="zh-CN"/>
        </w:rPr>
        <w:t>九运动中人们高唱《义勇军进行曲》，使其进一步传播。这说明(   )</w:t>
      </w:r>
    </w:p>
    <w:p w14:paraId="387C94E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①广大人民的民族意识开始觉醒</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②华北事变使民族危机进一步加深</w:t>
      </w:r>
    </w:p>
    <w:p w14:paraId="0944523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③抗日民族统一战线进一步扩大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④中华民族抗战精神得到蓬勃发展</w:t>
      </w:r>
    </w:p>
    <w:p w14:paraId="7F92A876">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A.①②</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B.①③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C.②③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D.②④</w:t>
      </w:r>
    </w:p>
    <w:p w14:paraId="5B5B5AF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8</w:t>
      </w:r>
      <w:r>
        <w:rPr>
          <w:rFonts w:hint="default" w:ascii="Times New Roman" w:hAnsi="Times New Roman" w:eastAsia="宋体" w:cs="Times New Roman"/>
          <w:color w:val="000000"/>
          <w:kern w:val="2"/>
          <w:sz w:val="24"/>
          <w:szCs w:val="24"/>
          <w:shd w:val="clear" w:color="auto" w:fill="FFFFFF"/>
          <w:lang w:eastAsia="zh-CN"/>
        </w:rPr>
        <w:t>.下面是全国政协十二届二次会议的部分优秀提案，由此可知(   )</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7914"/>
        <w:gridCol w:w="1615"/>
      </w:tblGrid>
      <w:tr w14:paraId="111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9ECAC1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案号</w:t>
            </w:r>
          </w:p>
        </w:tc>
        <w:tc>
          <w:tcPr>
            <w:tcW w:w="3833" w:type="pct"/>
            <w:vAlign w:val="center"/>
          </w:tcPr>
          <w:p w14:paraId="09E33B8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案由</w:t>
            </w:r>
          </w:p>
        </w:tc>
        <w:tc>
          <w:tcPr>
            <w:tcW w:w="782" w:type="pct"/>
            <w:vAlign w:val="center"/>
          </w:tcPr>
          <w:p w14:paraId="46636FF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提案者</w:t>
            </w:r>
          </w:p>
        </w:tc>
      </w:tr>
      <w:tr w14:paraId="5D55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1D5FB3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0009</w:t>
            </w:r>
          </w:p>
        </w:tc>
        <w:tc>
          <w:tcPr>
            <w:tcW w:w="3833" w:type="pct"/>
            <w:vAlign w:val="center"/>
          </w:tcPr>
          <w:p w14:paraId="162929C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关于加快转变政府职能，发挥社会组织在社会管理中作用的提案</w:t>
            </w:r>
          </w:p>
        </w:tc>
        <w:tc>
          <w:tcPr>
            <w:tcW w:w="782" w:type="pct"/>
            <w:vAlign w:val="center"/>
          </w:tcPr>
          <w:p w14:paraId="7994FDF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台盟中央</w:t>
            </w:r>
          </w:p>
        </w:tc>
      </w:tr>
      <w:tr w14:paraId="681B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91FF47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0258</w:t>
            </w:r>
          </w:p>
        </w:tc>
        <w:tc>
          <w:tcPr>
            <w:tcW w:w="3833" w:type="pct"/>
            <w:vAlign w:val="center"/>
          </w:tcPr>
          <w:p w14:paraId="20204BB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关于提高我国研究生培养质量的提案</w:t>
            </w:r>
          </w:p>
        </w:tc>
        <w:tc>
          <w:tcPr>
            <w:tcW w:w="782" w:type="pct"/>
            <w:vAlign w:val="center"/>
          </w:tcPr>
          <w:p w14:paraId="7E9D27D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民盟中央</w:t>
            </w:r>
          </w:p>
        </w:tc>
      </w:tr>
      <w:tr w14:paraId="240B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5E2239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0263</w:t>
            </w:r>
          </w:p>
        </w:tc>
        <w:tc>
          <w:tcPr>
            <w:tcW w:w="3833" w:type="pct"/>
            <w:vAlign w:val="center"/>
          </w:tcPr>
          <w:p w14:paraId="5421821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关于城镇化进程中住房保障问题的提案</w:t>
            </w:r>
          </w:p>
        </w:tc>
        <w:tc>
          <w:tcPr>
            <w:tcW w:w="782" w:type="pct"/>
            <w:vAlign w:val="center"/>
          </w:tcPr>
          <w:p w14:paraId="123CED3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致公党中央</w:t>
            </w:r>
          </w:p>
        </w:tc>
      </w:tr>
      <w:tr w14:paraId="79D2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3B7E58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0264</w:t>
            </w:r>
          </w:p>
        </w:tc>
        <w:tc>
          <w:tcPr>
            <w:tcW w:w="3833" w:type="pct"/>
            <w:vAlign w:val="center"/>
          </w:tcPr>
          <w:p w14:paraId="67E43B6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关于教育减负要从深化教学改革做起的提案</w:t>
            </w:r>
          </w:p>
        </w:tc>
        <w:tc>
          <w:tcPr>
            <w:tcW w:w="782" w:type="pct"/>
            <w:vAlign w:val="center"/>
          </w:tcPr>
          <w:p w14:paraId="707B0B7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民进中央</w:t>
            </w:r>
          </w:p>
        </w:tc>
      </w:tr>
      <w:tr w14:paraId="18C7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205ED5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0329</w:t>
            </w:r>
          </w:p>
        </w:tc>
        <w:tc>
          <w:tcPr>
            <w:tcW w:w="3833" w:type="pct"/>
            <w:vAlign w:val="center"/>
          </w:tcPr>
          <w:p w14:paraId="4FBBC07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关于发挥市场决定性作用，防止海工产业产能过剩的提案</w:t>
            </w:r>
          </w:p>
        </w:tc>
        <w:tc>
          <w:tcPr>
            <w:tcW w:w="782" w:type="pct"/>
            <w:vAlign w:val="center"/>
          </w:tcPr>
          <w:p w14:paraId="0873A44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农工党中央</w:t>
            </w:r>
          </w:p>
        </w:tc>
      </w:tr>
      <w:tr w14:paraId="4555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051165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0350</w:t>
            </w:r>
          </w:p>
        </w:tc>
        <w:tc>
          <w:tcPr>
            <w:tcW w:w="3833" w:type="pct"/>
            <w:vAlign w:val="center"/>
          </w:tcPr>
          <w:p w14:paraId="71144E81">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关于加强中小企业科技创新金融支持的提案</w:t>
            </w:r>
          </w:p>
        </w:tc>
        <w:tc>
          <w:tcPr>
            <w:tcW w:w="782" w:type="pct"/>
            <w:vAlign w:val="center"/>
          </w:tcPr>
          <w:p w14:paraId="7D83075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农工党中央</w:t>
            </w:r>
          </w:p>
        </w:tc>
      </w:tr>
    </w:tbl>
    <w:p w14:paraId="358661B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A.人民政协具有经济社会管理方面的部分立法权</w:t>
      </w:r>
    </w:p>
    <w:p w14:paraId="1D8208E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B.各民主党派轮流执掌国家的经济文化事务</w:t>
      </w:r>
    </w:p>
    <w:p w14:paraId="418AFB6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C.人民政协制度是人民当家做主的根本制度安排</w:t>
      </w:r>
    </w:p>
    <w:p w14:paraId="74983A6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D.多党合作和政治协商促进国家治理的完善</w:t>
      </w:r>
    </w:p>
    <w:p w14:paraId="16D720F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9</w:t>
      </w:r>
      <w:r>
        <w:rPr>
          <w:rFonts w:hint="default" w:ascii="Times New Roman" w:hAnsi="Times New Roman" w:eastAsia="宋体" w:cs="Times New Roman"/>
          <w:color w:val="000000"/>
          <w:kern w:val="2"/>
          <w:sz w:val="24"/>
          <w:szCs w:val="24"/>
          <w:shd w:val="clear" w:color="auto" w:fill="FFFFFF"/>
          <w:lang w:eastAsia="zh-CN"/>
        </w:rPr>
        <w:t>.毛泽东在谈到西藏和新疆问题时指</w:t>
      </w:r>
      <w:r>
        <w:rPr>
          <w:rFonts w:hint="eastAsia" w:ascii="宋体" w:hAnsi="宋体" w:eastAsia="宋体" w:cs="宋体"/>
          <w:color w:val="000000"/>
          <w:kern w:val="2"/>
          <w:sz w:val="24"/>
          <w:szCs w:val="24"/>
          <w:shd w:val="clear" w:color="auto" w:fill="FFFFFF"/>
          <w:lang w:eastAsia="zh-CN"/>
        </w:rPr>
        <w:t>出：“必须防止和纠正大民族主义倾向，而以自己的衷心尊重西藏民族和为西藏人民服务的实践，来消除这个历史上留下来的很大的民族隔阂，取得西藏地方政府和西藏人民的衷心信任。”这体现出</w:t>
      </w:r>
      <w:r>
        <w:rPr>
          <w:rFonts w:hint="default" w:ascii="Times New Roman" w:hAnsi="Times New Roman" w:eastAsia="宋体" w:cs="Times New Roman"/>
          <w:color w:val="000000"/>
          <w:kern w:val="2"/>
          <w:sz w:val="24"/>
          <w:szCs w:val="24"/>
          <w:shd w:val="clear" w:color="auto" w:fill="FFFFFF"/>
          <w:lang w:eastAsia="zh-CN"/>
        </w:rPr>
        <w:t>(   )</w:t>
      </w:r>
    </w:p>
    <w:p w14:paraId="58B56A4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A.依法治边</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B.富民兴边</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C.文化润边</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D.人心聚边</w:t>
      </w:r>
    </w:p>
    <w:p w14:paraId="1FBFD23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10</w:t>
      </w:r>
      <w:r>
        <w:rPr>
          <w:rFonts w:hint="default" w:ascii="Times New Roman" w:hAnsi="Times New Roman" w:eastAsia="宋体" w:cs="Times New Roman"/>
          <w:color w:val="000000"/>
          <w:kern w:val="2"/>
          <w:sz w:val="24"/>
          <w:szCs w:val="24"/>
          <w:shd w:val="clear" w:color="auto" w:fill="FFFFFF"/>
          <w:lang w:eastAsia="zh-CN"/>
        </w:rPr>
        <w:t>.20世纪80年代初，在包产到户问题上，中央几个文件</w:t>
      </w:r>
      <w:r>
        <w:rPr>
          <w:rFonts w:hint="eastAsia" w:ascii="宋体" w:hAnsi="宋体" w:eastAsia="宋体" w:cs="宋体"/>
          <w:color w:val="000000"/>
          <w:kern w:val="2"/>
          <w:sz w:val="24"/>
          <w:szCs w:val="24"/>
          <w:shd w:val="clear" w:color="auto" w:fill="FFFFFF"/>
          <w:lang w:eastAsia="zh-CN"/>
        </w:rPr>
        <w:t>先是说“不准”，后来说“不要”，再后来是“有条件的要”。这反映</w:t>
      </w:r>
      <w:r>
        <w:rPr>
          <w:rFonts w:hint="default" w:ascii="Times New Roman" w:hAnsi="Times New Roman" w:eastAsia="宋体" w:cs="Times New Roman"/>
          <w:color w:val="000000"/>
          <w:kern w:val="2"/>
          <w:sz w:val="24"/>
          <w:szCs w:val="24"/>
          <w:shd w:val="clear" w:color="auto" w:fill="FFFFFF"/>
          <w:lang w:eastAsia="zh-CN"/>
        </w:rPr>
        <w:t>了(   )</w:t>
      </w:r>
    </w:p>
    <w:p w14:paraId="2A90039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A.政策调整的探索性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B.认识统一的渐进性</w:t>
      </w:r>
    </w:p>
    <w:p w14:paraId="4588643E">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C.地方落实的差异性</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D.实践检验的深刻性</w:t>
      </w:r>
    </w:p>
    <w:p w14:paraId="5B2F5E2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11</w:t>
      </w:r>
      <w:r>
        <w:rPr>
          <w:rFonts w:hint="default" w:ascii="Times New Roman" w:hAnsi="Times New Roman" w:eastAsia="宋体" w:cs="Times New Roman"/>
          <w:color w:val="000000"/>
          <w:kern w:val="2"/>
          <w:sz w:val="24"/>
          <w:szCs w:val="24"/>
          <w:shd w:val="clear" w:color="auto" w:fill="FFFFFF"/>
          <w:lang w:eastAsia="zh-CN"/>
        </w:rPr>
        <w:t>.古代文明的地域性扩张促使波斯帝国、亚历山大帝国、罗马帝国先后兴起，人类最初的文明走出</w:t>
      </w:r>
      <w:r>
        <w:rPr>
          <w:rFonts w:hint="eastAsia" w:ascii="宋体" w:hAnsi="宋体" w:eastAsia="宋体" w:cs="宋体"/>
          <w:color w:val="000000"/>
          <w:kern w:val="2"/>
          <w:sz w:val="24"/>
          <w:szCs w:val="24"/>
          <w:shd w:val="clear" w:color="auto" w:fill="FFFFFF"/>
          <w:lang w:eastAsia="zh-CN"/>
        </w:rPr>
        <w:t>了“孤岛”状态，</w:t>
      </w:r>
      <w:r>
        <w:rPr>
          <w:rFonts w:hint="default" w:ascii="Times New Roman" w:hAnsi="Times New Roman" w:eastAsia="宋体" w:cs="Times New Roman"/>
          <w:color w:val="000000"/>
          <w:kern w:val="2"/>
          <w:sz w:val="24"/>
          <w:szCs w:val="24"/>
          <w:shd w:val="clear" w:color="auto" w:fill="FFFFFF"/>
          <w:lang w:eastAsia="zh-CN"/>
        </w:rPr>
        <w:t>帝国的统治进一步巩固和扩大了文明区域。关于上述古代帝国共同点说法正确的是(   )</w:t>
      </w:r>
    </w:p>
    <w:p w14:paraId="5B24121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①致力于推广希腊文化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②实行君主专制制度</w:t>
      </w:r>
    </w:p>
    <w:p w14:paraId="35A1F092">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③以基督教为帝国国教</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④有强大的武力保障</w:t>
      </w:r>
    </w:p>
    <w:p w14:paraId="09A02457">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A.①②</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B.①③</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C.②④</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D.③④</w:t>
      </w:r>
    </w:p>
    <w:p w14:paraId="717DC48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12.15</w:t>
      </w:r>
      <w:r>
        <w:rPr>
          <w:rFonts w:hint="default" w:ascii="Times New Roman" w:hAnsi="Times New Roman" w:eastAsia="宋体" w:cs="Times New Roman"/>
          <w:color w:val="000000"/>
          <w:kern w:val="2"/>
          <w:sz w:val="24"/>
          <w:szCs w:val="24"/>
          <w:shd w:val="clear" w:color="auto" w:fill="FFFFFF"/>
          <w:lang w:eastAsia="zh-CN"/>
        </w:rPr>
        <w:t>世纪中期，西班牙、葡萄牙两国注重运用在11世纪被重新发现的罗马法，主张对尚未发现的近海岛屿享有管辖权、财产权。罗马教皇对此表示认同。这表明，当时(   )</w:t>
      </w:r>
    </w:p>
    <w:p w14:paraId="5C420541">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A.罗马法成为殖民者的工具</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B.西欧教权从属于王权</w:t>
      </w:r>
    </w:p>
    <w:p w14:paraId="25C5419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C.近代国际法的基础已奠定</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D.教会法的影响力增强</w:t>
      </w:r>
    </w:p>
    <w:p w14:paraId="0AC6E86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13</w:t>
      </w:r>
      <w:r>
        <w:rPr>
          <w:rFonts w:hint="default" w:ascii="Times New Roman" w:hAnsi="Times New Roman" w:eastAsia="宋体" w:cs="Times New Roman"/>
          <w:color w:val="000000"/>
          <w:kern w:val="2"/>
          <w:sz w:val="24"/>
          <w:szCs w:val="24"/>
          <w:shd w:val="clear" w:color="auto" w:fill="FFFFFF"/>
          <w:lang w:eastAsia="zh-CN"/>
        </w:rPr>
        <w:t>.下表反映了1750—1900年欧洲主要国家制造业产量的相对份额（%）。对此解读正确的是(   )</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474"/>
        <w:gridCol w:w="1474"/>
        <w:gridCol w:w="1474"/>
        <w:gridCol w:w="1474"/>
        <w:gridCol w:w="1474"/>
        <w:gridCol w:w="1475"/>
      </w:tblGrid>
      <w:tr w14:paraId="186E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36FA0B3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p>
        </w:tc>
        <w:tc>
          <w:tcPr>
            <w:tcW w:w="714" w:type="pct"/>
            <w:vAlign w:val="center"/>
          </w:tcPr>
          <w:p w14:paraId="7D0AF22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1750年</w:t>
            </w:r>
          </w:p>
        </w:tc>
        <w:tc>
          <w:tcPr>
            <w:tcW w:w="714" w:type="pct"/>
            <w:vAlign w:val="center"/>
          </w:tcPr>
          <w:p w14:paraId="6A1BB5A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1800年</w:t>
            </w:r>
          </w:p>
        </w:tc>
        <w:tc>
          <w:tcPr>
            <w:tcW w:w="714" w:type="pct"/>
            <w:vAlign w:val="center"/>
          </w:tcPr>
          <w:p w14:paraId="1C79088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1830年</w:t>
            </w:r>
          </w:p>
        </w:tc>
        <w:tc>
          <w:tcPr>
            <w:tcW w:w="714" w:type="pct"/>
            <w:vAlign w:val="center"/>
          </w:tcPr>
          <w:p w14:paraId="7CE95E2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1860年</w:t>
            </w:r>
          </w:p>
        </w:tc>
        <w:tc>
          <w:tcPr>
            <w:tcW w:w="714" w:type="pct"/>
            <w:vAlign w:val="center"/>
          </w:tcPr>
          <w:p w14:paraId="54422D5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1880年</w:t>
            </w:r>
          </w:p>
        </w:tc>
        <w:tc>
          <w:tcPr>
            <w:tcW w:w="714" w:type="pct"/>
            <w:vAlign w:val="center"/>
          </w:tcPr>
          <w:p w14:paraId="0A3CDB9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1900年</w:t>
            </w:r>
          </w:p>
        </w:tc>
      </w:tr>
      <w:tr w14:paraId="1CC5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094113B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英国</w:t>
            </w:r>
          </w:p>
        </w:tc>
        <w:tc>
          <w:tcPr>
            <w:tcW w:w="714" w:type="pct"/>
            <w:vAlign w:val="center"/>
          </w:tcPr>
          <w:p w14:paraId="5F9B06C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w:t>
            </w:r>
          </w:p>
        </w:tc>
        <w:tc>
          <w:tcPr>
            <w:tcW w:w="714" w:type="pct"/>
            <w:vAlign w:val="center"/>
          </w:tcPr>
          <w:p w14:paraId="185C69C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4.3</w:t>
            </w:r>
          </w:p>
        </w:tc>
        <w:tc>
          <w:tcPr>
            <w:tcW w:w="714" w:type="pct"/>
            <w:vAlign w:val="center"/>
          </w:tcPr>
          <w:p w14:paraId="4EB6598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9.5</w:t>
            </w:r>
          </w:p>
        </w:tc>
        <w:tc>
          <w:tcPr>
            <w:tcW w:w="714" w:type="pct"/>
            <w:vAlign w:val="center"/>
          </w:tcPr>
          <w:p w14:paraId="0999C71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w:t>
            </w:r>
          </w:p>
        </w:tc>
        <w:tc>
          <w:tcPr>
            <w:tcW w:w="714" w:type="pct"/>
            <w:vAlign w:val="center"/>
          </w:tcPr>
          <w:p w14:paraId="4346F23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22.9</w:t>
            </w:r>
          </w:p>
        </w:tc>
        <w:tc>
          <w:tcPr>
            <w:tcW w:w="714" w:type="pct"/>
            <w:vAlign w:val="center"/>
          </w:tcPr>
          <w:p w14:paraId="75462E71">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18.5</w:t>
            </w:r>
          </w:p>
        </w:tc>
      </w:tr>
      <w:tr w14:paraId="088B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C407A0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奥地利哈布斯堡</w:t>
            </w:r>
          </w:p>
        </w:tc>
        <w:tc>
          <w:tcPr>
            <w:tcW w:w="714" w:type="pct"/>
            <w:vAlign w:val="center"/>
          </w:tcPr>
          <w:p w14:paraId="68132B3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2.9</w:t>
            </w:r>
          </w:p>
        </w:tc>
        <w:tc>
          <w:tcPr>
            <w:tcW w:w="714" w:type="pct"/>
            <w:vAlign w:val="center"/>
          </w:tcPr>
          <w:p w14:paraId="723C304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3.2</w:t>
            </w:r>
          </w:p>
        </w:tc>
        <w:tc>
          <w:tcPr>
            <w:tcW w:w="714" w:type="pct"/>
            <w:vAlign w:val="center"/>
          </w:tcPr>
          <w:p w14:paraId="7A8D4F7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3.2</w:t>
            </w:r>
          </w:p>
        </w:tc>
        <w:tc>
          <w:tcPr>
            <w:tcW w:w="714" w:type="pct"/>
            <w:vAlign w:val="center"/>
          </w:tcPr>
          <w:p w14:paraId="2875EA7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4.2</w:t>
            </w:r>
          </w:p>
        </w:tc>
        <w:tc>
          <w:tcPr>
            <w:tcW w:w="714" w:type="pct"/>
            <w:vAlign w:val="center"/>
          </w:tcPr>
          <w:p w14:paraId="4E9ACFE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4.4</w:t>
            </w:r>
          </w:p>
        </w:tc>
        <w:tc>
          <w:tcPr>
            <w:tcW w:w="714" w:type="pct"/>
            <w:vAlign w:val="center"/>
          </w:tcPr>
          <w:p w14:paraId="3DEB819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4.7</w:t>
            </w:r>
          </w:p>
        </w:tc>
      </w:tr>
      <w:tr w14:paraId="086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527217C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法国</w:t>
            </w:r>
          </w:p>
        </w:tc>
        <w:tc>
          <w:tcPr>
            <w:tcW w:w="714" w:type="pct"/>
            <w:vAlign w:val="center"/>
          </w:tcPr>
          <w:p w14:paraId="445FBF6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4.0</w:t>
            </w:r>
          </w:p>
        </w:tc>
        <w:tc>
          <w:tcPr>
            <w:tcW w:w="714" w:type="pct"/>
            <w:vAlign w:val="center"/>
          </w:tcPr>
          <w:p w14:paraId="78BE0E2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4.2</w:t>
            </w:r>
          </w:p>
        </w:tc>
        <w:tc>
          <w:tcPr>
            <w:tcW w:w="714" w:type="pct"/>
            <w:vAlign w:val="center"/>
          </w:tcPr>
          <w:p w14:paraId="30D50257">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5.2</w:t>
            </w:r>
          </w:p>
        </w:tc>
        <w:tc>
          <w:tcPr>
            <w:tcW w:w="714" w:type="pct"/>
            <w:vAlign w:val="center"/>
          </w:tcPr>
          <w:p w14:paraId="42FF780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7.9</w:t>
            </w:r>
          </w:p>
        </w:tc>
        <w:tc>
          <w:tcPr>
            <w:tcW w:w="714" w:type="pct"/>
            <w:vAlign w:val="center"/>
          </w:tcPr>
          <w:p w14:paraId="5C11B04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7.8</w:t>
            </w:r>
          </w:p>
        </w:tc>
        <w:tc>
          <w:tcPr>
            <w:tcW w:w="714" w:type="pct"/>
            <w:vAlign w:val="center"/>
          </w:tcPr>
          <w:p w14:paraId="7225814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6.8</w:t>
            </w:r>
          </w:p>
        </w:tc>
      </w:tr>
      <w:tr w14:paraId="445D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448A1B4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德意志诸邦/德意志</w:t>
            </w:r>
          </w:p>
        </w:tc>
        <w:tc>
          <w:tcPr>
            <w:tcW w:w="714" w:type="pct"/>
            <w:vAlign w:val="center"/>
          </w:tcPr>
          <w:p w14:paraId="43D630B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2.9</w:t>
            </w:r>
          </w:p>
        </w:tc>
        <w:tc>
          <w:tcPr>
            <w:tcW w:w="714" w:type="pct"/>
            <w:vAlign w:val="center"/>
          </w:tcPr>
          <w:p w14:paraId="7CF50D2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3.5</w:t>
            </w:r>
          </w:p>
        </w:tc>
        <w:tc>
          <w:tcPr>
            <w:tcW w:w="714" w:type="pct"/>
            <w:vAlign w:val="center"/>
          </w:tcPr>
          <w:p w14:paraId="578C152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3.5</w:t>
            </w:r>
          </w:p>
        </w:tc>
        <w:tc>
          <w:tcPr>
            <w:tcW w:w="714" w:type="pct"/>
            <w:vAlign w:val="center"/>
          </w:tcPr>
          <w:p w14:paraId="2B59B19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4.9</w:t>
            </w:r>
          </w:p>
        </w:tc>
        <w:tc>
          <w:tcPr>
            <w:tcW w:w="714" w:type="pct"/>
            <w:vAlign w:val="center"/>
          </w:tcPr>
          <w:p w14:paraId="2736851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8.5</w:t>
            </w:r>
          </w:p>
        </w:tc>
        <w:tc>
          <w:tcPr>
            <w:tcW w:w="714" w:type="pct"/>
            <w:vAlign w:val="center"/>
          </w:tcPr>
          <w:p w14:paraId="1FCCB9A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13.2</w:t>
            </w:r>
          </w:p>
        </w:tc>
      </w:tr>
      <w:tr w14:paraId="0C74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0419A7D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意大利诸邦/意大利</w:t>
            </w:r>
          </w:p>
        </w:tc>
        <w:tc>
          <w:tcPr>
            <w:tcW w:w="714" w:type="pct"/>
            <w:vAlign w:val="center"/>
          </w:tcPr>
          <w:p w14:paraId="3071784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2.4</w:t>
            </w:r>
          </w:p>
        </w:tc>
        <w:tc>
          <w:tcPr>
            <w:tcW w:w="714" w:type="pct"/>
            <w:vAlign w:val="center"/>
          </w:tcPr>
          <w:p w14:paraId="31B760EA">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c>
          <w:tcPr>
            <w:tcW w:w="714" w:type="pct"/>
            <w:vAlign w:val="center"/>
          </w:tcPr>
          <w:p w14:paraId="56DA7D9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2.3</w:t>
            </w:r>
          </w:p>
        </w:tc>
        <w:tc>
          <w:tcPr>
            <w:tcW w:w="714" w:type="pct"/>
            <w:vAlign w:val="center"/>
          </w:tcPr>
          <w:p w14:paraId="34ACAD2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c>
          <w:tcPr>
            <w:tcW w:w="714" w:type="pct"/>
            <w:vAlign w:val="center"/>
          </w:tcPr>
          <w:p w14:paraId="2E12546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c>
          <w:tcPr>
            <w:tcW w:w="714" w:type="pct"/>
            <w:vAlign w:val="center"/>
          </w:tcPr>
          <w:p w14:paraId="5A3D59D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2.5</w:t>
            </w:r>
          </w:p>
        </w:tc>
      </w:tr>
      <w:tr w14:paraId="6226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5310C7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俄国</w:t>
            </w:r>
          </w:p>
        </w:tc>
        <w:tc>
          <w:tcPr>
            <w:tcW w:w="714" w:type="pct"/>
            <w:vAlign w:val="center"/>
          </w:tcPr>
          <w:p w14:paraId="60E1FDB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5.0</w:t>
            </w:r>
          </w:p>
        </w:tc>
        <w:tc>
          <w:tcPr>
            <w:tcW w:w="714" w:type="pct"/>
            <w:vAlign w:val="center"/>
          </w:tcPr>
          <w:p w14:paraId="4EE2C16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5.6</w:t>
            </w:r>
          </w:p>
        </w:tc>
        <w:tc>
          <w:tcPr>
            <w:tcW w:w="714" w:type="pct"/>
            <w:vAlign w:val="center"/>
          </w:tcPr>
          <w:p w14:paraId="274C31C9">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5.6</w:t>
            </w:r>
          </w:p>
        </w:tc>
        <w:tc>
          <w:tcPr>
            <w:tcW w:w="714" w:type="pct"/>
            <w:vAlign w:val="center"/>
          </w:tcPr>
          <w:p w14:paraId="5514D93A">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7.0</w:t>
            </w:r>
          </w:p>
        </w:tc>
        <w:tc>
          <w:tcPr>
            <w:tcW w:w="714" w:type="pct"/>
            <w:vAlign w:val="center"/>
          </w:tcPr>
          <w:p w14:paraId="7BE3E2DB">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7.6</w:t>
            </w:r>
          </w:p>
        </w:tc>
        <w:tc>
          <w:tcPr>
            <w:tcW w:w="714" w:type="pct"/>
            <w:vAlign w:val="center"/>
          </w:tcPr>
          <w:p w14:paraId="48ED1DC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8.8</w:t>
            </w:r>
          </w:p>
        </w:tc>
      </w:tr>
    </w:tbl>
    <w:p w14:paraId="7C6C6EA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A.反映了欧洲主要国家政治发展的不平衡</w:t>
      </w:r>
    </w:p>
    <w:p w14:paraId="1695BE2D">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B.制造业发展得益于新航路开辟和殖民扩张</w:t>
      </w:r>
    </w:p>
    <w:p w14:paraId="2EF9FA0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C.英国制造业发展速度始终领先于其他国家</w:t>
      </w:r>
    </w:p>
    <w:p w14:paraId="4D76227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D.德国的制造业在19世纪下半叶发展最快</w:t>
      </w:r>
    </w:p>
    <w:p w14:paraId="08E0464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14</w:t>
      </w:r>
      <w:r>
        <w:rPr>
          <w:rFonts w:hint="default" w:ascii="Times New Roman" w:hAnsi="Times New Roman" w:eastAsia="宋体" w:cs="Times New Roman"/>
          <w:color w:val="000000"/>
          <w:kern w:val="2"/>
          <w:sz w:val="24"/>
          <w:szCs w:val="24"/>
          <w:shd w:val="clear" w:color="auto" w:fill="FFFFFF"/>
          <w:lang w:eastAsia="zh-CN"/>
        </w:rPr>
        <w:t>.1938年，塔哈</w:t>
      </w:r>
      <w:r>
        <w:rPr>
          <w:rFonts w:hint="eastAsia" w:ascii="Times New Roman" w:hAnsi="Times New Roman" w:cs="Times New Roman"/>
          <w:color w:val="000000"/>
          <w:kern w:val="2"/>
          <w:sz w:val="24"/>
          <w:szCs w:val="24"/>
          <w:shd w:val="clear" w:color="auto" w:fill="FFFFFF"/>
          <w:lang w:val="en-US" w:eastAsia="zh-CN"/>
        </w:rPr>
        <w:t>·</w:t>
      </w:r>
      <w:r>
        <w:rPr>
          <w:rFonts w:hint="default" w:ascii="Times New Roman" w:hAnsi="Times New Roman" w:eastAsia="宋体" w:cs="Times New Roman"/>
          <w:color w:val="000000"/>
          <w:kern w:val="2"/>
          <w:sz w:val="24"/>
          <w:szCs w:val="24"/>
          <w:shd w:val="clear" w:color="auto" w:fill="FFFFFF"/>
          <w:lang w:eastAsia="zh-CN"/>
        </w:rPr>
        <w:t>侯赛因认为埃</w:t>
      </w:r>
      <w:r>
        <w:rPr>
          <w:rFonts w:hint="eastAsia" w:ascii="宋体" w:hAnsi="宋体" w:eastAsia="宋体" w:cs="宋体"/>
          <w:color w:val="000000"/>
          <w:kern w:val="2"/>
          <w:sz w:val="24"/>
          <w:szCs w:val="24"/>
          <w:shd w:val="clear" w:color="auto" w:fill="FFFFFF"/>
          <w:lang w:eastAsia="zh-CN"/>
        </w:rPr>
        <w:t>及“无论如何，必须成为欧洲的成员，接受它们好的或坏的方面，我们必须跟随欧洲的道路，以便与它们成为平等和文明的伙伴，接受它们的善的或恶的、甜蜜和苦涩、可爱与可恨、可赞扬或可指责的方面。”塔哈·侯</w:t>
      </w:r>
      <w:r>
        <w:rPr>
          <w:rFonts w:hint="default" w:ascii="Times New Roman" w:hAnsi="Times New Roman" w:eastAsia="宋体" w:cs="Times New Roman"/>
          <w:color w:val="000000"/>
          <w:kern w:val="2"/>
          <w:sz w:val="24"/>
          <w:szCs w:val="24"/>
          <w:shd w:val="clear" w:color="auto" w:fill="FFFFFF"/>
          <w:lang w:eastAsia="zh-CN"/>
        </w:rPr>
        <w:t>赛因意在(   )</w:t>
      </w:r>
    </w:p>
    <w:p w14:paraId="0DCF439A">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A.实现埃及的独立自主</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B.学习西方的发展道路</w:t>
      </w:r>
    </w:p>
    <w:p w14:paraId="67542E2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C.消除殖民主义的影响</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D.复兴阿拉伯民族文化</w:t>
      </w:r>
    </w:p>
    <w:p w14:paraId="1F159F5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15</w:t>
      </w:r>
      <w:r>
        <w:rPr>
          <w:rFonts w:hint="default" w:ascii="Times New Roman" w:hAnsi="Times New Roman" w:eastAsia="宋体" w:cs="Times New Roman"/>
          <w:color w:val="000000"/>
          <w:kern w:val="2"/>
          <w:sz w:val="24"/>
          <w:szCs w:val="24"/>
          <w:shd w:val="clear" w:color="auto" w:fill="FFFFFF"/>
          <w:lang w:eastAsia="zh-CN"/>
        </w:rPr>
        <w:t>.20世纪90年代英、美两国都实施了社会福利改革，下表是改革后的全国失业率（单位：%）情况。由此可推知，这场福利改革(   )</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719"/>
        <w:gridCol w:w="1719"/>
        <w:gridCol w:w="1720"/>
        <w:gridCol w:w="1720"/>
        <w:gridCol w:w="1720"/>
      </w:tblGrid>
      <w:tr w14:paraId="04AF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6E59E3C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p>
        </w:tc>
        <w:tc>
          <w:tcPr>
            <w:tcW w:w="833" w:type="pct"/>
            <w:vAlign w:val="center"/>
          </w:tcPr>
          <w:p w14:paraId="68BEA86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1995年</w:t>
            </w:r>
          </w:p>
        </w:tc>
        <w:tc>
          <w:tcPr>
            <w:tcW w:w="833" w:type="pct"/>
            <w:vAlign w:val="center"/>
          </w:tcPr>
          <w:p w14:paraId="393A7C3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1996年</w:t>
            </w:r>
          </w:p>
        </w:tc>
        <w:tc>
          <w:tcPr>
            <w:tcW w:w="833" w:type="pct"/>
            <w:vAlign w:val="center"/>
          </w:tcPr>
          <w:p w14:paraId="328F01D2">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1997年</w:t>
            </w:r>
          </w:p>
        </w:tc>
        <w:tc>
          <w:tcPr>
            <w:tcW w:w="833" w:type="pct"/>
            <w:vAlign w:val="center"/>
          </w:tcPr>
          <w:p w14:paraId="6DF9584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1998年</w:t>
            </w:r>
          </w:p>
        </w:tc>
        <w:tc>
          <w:tcPr>
            <w:tcW w:w="833" w:type="pct"/>
            <w:vAlign w:val="center"/>
          </w:tcPr>
          <w:p w14:paraId="0D100228">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1999年</w:t>
            </w:r>
          </w:p>
        </w:tc>
      </w:tr>
      <w:tr w14:paraId="58B2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28C9EB2F">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英国</w:t>
            </w:r>
          </w:p>
        </w:tc>
        <w:tc>
          <w:tcPr>
            <w:tcW w:w="833" w:type="pct"/>
            <w:vAlign w:val="center"/>
          </w:tcPr>
          <w:p w14:paraId="19BAE5C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8.7</w:t>
            </w:r>
          </w:p>
        </w:tc>
        <w:tc>
          <w:tcPr>
            <w:tcW w:w="833" w:type="pct"/>
            <w:vAlign w:val="center"/>
          </w:tcPr>
          <w:p w14:paraId="51F7785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8.2</w:t>
            </w:r>
          </w:p>
        </w:tc>
        <w:tc>
          <w:tcPr>
            <w:tcW w:w="833" w:type="pct"/>
            <w:vAlign w:val="center"/>
          </w:tcPr>
          <w:p w14:paraId="32F7B55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7.0</w:t>
            </w:r>
          </w:p>
        </w:tc>
        <w:tc>
          <w:tcPr>
            <w:tcW w:w="833" w:type="pct"/>
            <w:vAlign w:val="center"/>
          </w:tcPr>
          <w:p w14:paraId="03D0E3EE">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6.3</w:t>
            </w:r>
          </w:p>
        </w:tc>
        <w:tc>
          <w:tcPr>
            <w:tcW w:w="833" w:type="pct"/>
            <w:vAlign w:val="center"/>
          </w:tcPr>
          <w:p w14:paraId="404B632A">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6.1</w:t>
            </w:r>
          </w:p>
        </w:tc>
      </w:tr>
      <w:tr w14:paraId="3DE9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3A84F0F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美国</w:t>
            </w:r>
          </w:p>
        </w:tc>
        <w:tc>
          <w:tcPr>
            <w:tcW w:w="833" w:type="pct"/>
            <w:vAlign w:val="center"/>
          </w:tcPr>
          <w:p w14:paraId="34900256">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5.6</w:t>
            </w:r>
          </w:p>
        </w:tc>
        <w:tc>
          <w:tcPr>
            <w:tcW w:w="833" w:type="pct"/>
            <w:vAlign w:val="center"/>
          </w:tcPr>
          <w:p w14:paraId="59A4551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5.4</w:t>
            </w:r>
          </w:p>
        </w:tc>
        <w:tc>
          <w:tcPr>
            <w:tcW w:w="833" w:type="pct"/>
            <w:vAlign w:val="center"/>
          </w:tcPr>
          <w:p w14:paraId="666131F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4.9</w:t>
            </w:r>
          </w:p>
        </w:tc>
        <w:tc>
          <w:tcPr>
            <w:tcW w:w="833" w:type="pct"/>
            <w:vAlign w:val="center"/>
          </w:tcPr>
          <w:p w14:paraId="7497623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4.5</w:t>
            </w:r>
          </w:p>
        </w:tc>
        <w:tc>
          <w:tcPr>
            <w:tcW w:w="833" w:type="pct"/>
            <w:vAlign w:val="center"/>
          </w:tcPr>
          <w:p w14:paraId="7111C870">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4.2</w:t>
            </w:r>
          </w:p>
        </w:tc>
      </w:tr>
    </w:tbl>
    <w:p w14:paraId="58CD5370">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A.导致经济陷</w:t>
      </w:r>
      <w:r>
        <w:rPr>
          <w:rFonts w:hint="eastAsia" w:ascii="宋体" w:hAnsi="宋体" w:eastAsia="宋体" w:cs="宋体"/>
          <w:color w:val="000000"/>
          <w:kern w:val="2"/>
          <w:sz w:val="24"/>
          <w:szCs w:val="24"/>
          <w:shd w:val="clear" w:color="auto" w:fill="FFFFFF"/>
          <w:lang w:eastAsia="zh-CN"/>
        </w:rPr>
        <w:t>入“滞胀”</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B.有利于提升社会效率</w:t>
      </w:r>
    </w:p>
    <w:p w14:paraId="53EA17B1">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C.使中间阶层人数猛增</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D.增强了国家干预能力</w:t>
      </w:r>
    </w:p>
    <w:p w14:paraId="192D143E">
      <w:pPr>
        <w:pStyle w:val="16"/>
        <w:spacing w:line="360" w:lineRule="auto"/>
        <w:textAlignment w:val="center"/>
        <w:rPr>
          <w:rFonts w:hint="eastAsia" w:ascii="Times New Roman" w:hAnsi="Times New Roman" w:cs="Times New Roman"/>
          <w:color w:val="000000"/>
          <w:kern w:val="2"/>
          <w:sz w:val="24"/>
          <w:szCs w:val="24"/>
          <w:shd w:val="clear" w:color="auto" w:fill="FFFFFF"/>
          <w:lang w:val="en-US" w:eastAsia="zh-CN"/>
        </w:rPr>
      </w:pPr>
      <w:r>
        <w:rPr>
          <w:rFonts w:hint="eastAsia" w:ascii="Times New Roman" w:hAnsi="Times New Roman" w:cs="Times New Roman"/>
          <w:b/>
          <w:bCs/>
          <w:color w:val="000000"/>
          <w:sz w:val="24"/>
          <w:szCs w:val="24"/>
          <w:lang w:val="en-US" w:eastAsia="zh-CN"/>
        </w:rPr>
        <w:t>二</w:t>
      </w:r>
      <w:r>
        <w:rPr>
          <w:rFonts w:ascii="Times New Roman" w:hAnsi="Times New Roman" w:cs="Times New Roman"/>
          <w:b/>
          <w:bCs/>
          <w:color w:val="000000"/>
          <w:sz w:val="24"/>
          <w:szCs w:val="24"/>
        </w:rPr>
        <w:t>、</w:t>
      </w:r>
      <w:r>
        <w:rPr>
          <w:rFonts w:hint="eastAsia" w:ascii="Times New Roman" w:hAnsi="Times New Roman" w:cs="Times New Roman"/>
          <w:b/>
          <w:bCs/>
          <w:color w:val="000000"/>
          <w:sz w:val="24"/>
          <w:szCs w:val="24"/>
        </w:rPr>
        <w:t>选择题Ⅱ：本题共</w:t>
      </w:r>
      <w:r>
        <w:rPr>
          <w:rFonts w:hint="eastAsia" w:ascii="Times New Roman" w:hAnsi="Times New Roman" w:cs="Times New Roman"/>
          <w:b/>
          <w:bCs/>
          <w:color w:val="000000"/>
          <w:sz w:val="24"/>
          <w:szCs w:val="24"/>
          <w:lang w:val="en-US" w:eastAsia="zh-CN"/>
        </w:rPr>
        <w:t>6</w:t>
      </w:r>
      <w:r>
        <w:rPr>
          <w:rFonts w:hint="eastAsia" w:ascii="Times New Roman" w:hAnsi="Times New Roman" w:cs="Times New Roman"/>
          <w:b/>
          <w:bCs/>
          <w:color w:val="000000"/>
          <w:sz w:val="24"/>
          <w:szCs w:val="24"/>
        </w:rPr>
        <w:t>小题，每小题</w:t>
      </w:r>
      <w:r>
        <w:rPr>
          <w:rFonts w:hint="eastAsia" w:ascii="Times New Roman" w:hAnsi="Times New Roman" w:cs="Times New Roman"/>
          <w:b/>
          <w:bCs/>
          <w:color w:val="000000"/>
          <w:sz w:val="24"/>
          <w:szCs w:val="24"/>
          <w:lang w:val="en-US" w:eastAsia="zh-CN"/>
        </w:rPr>
        <w:t>3</w:t>
      </w:r>
      <w:r>
        <w:rPr>
          <w:rFonts w:hint="eastAsia" w:ascii="Times New Roman" w:hAnsi="Times New Roman" w:cs="Times New Roman"/>
          <w:b/>
          <w:bCs/>
          <w:color w:val="000000"/>
          <w:sz w:val="24"/>
          <w:szCs w:val="24"/>
        </w:rPr>
        <w:t>分，共</w:t>
      </w:r>
      <w:r>
        <w:rPr>
          <w:rFonts w:hint="eastAsia" w:ascii="Times New Roman" w:hAnsi="Times New Roman" w:cs="Times New Roman"/>
          <w:b/>
          <w:bCs/>
          <w:color w:val="000000"/>
          <w:sz w:val="24"/>
          <w:szCs w:val="24"/>
          <w:lang w:val="en-US" w:eastAsia="zh-CN"/>
        </w:rPr>
        <w:t>18</w:t>
      </w:r>
      <w:r>
        <w:rPr>
          <w:rFonts w:hint="eastAsia" w:ascii="Times New Roman" w:hAnsi="Times New Roman" w:cs="Times New Roman"/>
          <w:b/>
          <w:bCs/>
          <w:color w:val="000000"/>
          <w:sz w:val="24"/>
          <w:szCs w:val="24"/>
        </w:rPr>
        <w:t>分。每小题列出的四个各选项中只有一个是符合题目要求的，不选、多选、错选均不得分。</w:t>
      </w:r>
    </w:p>
    <w:p w14:paraId="579210A6">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16</w:t>
      </w:r>
      <w:r>
        <w:rPr>
          <w:rFonts w:hint="default" w:ascii="Times New Roman" w:hAnsi="Times New Roman" w:eastAsia="宋体" w:cs="Times New Roman"/>
          <w:color w:val="000000"/>
          <w:kern w:val="2"/>
          <w:sz w:val="24"/>
          <w:szCs w:val="24"/>
          <w:shd w:val="clear" w:color="auto" w:fill="FFFFFF"/>
          <w:lang w:eastAsia="zh-CN"/>
        </w:rPr>
        <w:t>.它</w:t>
      </w:r>
      <w:r>
        <w:rPr>
          <w:rFonts w:hint="eastAsia" w:ascii="宋体" w:hAnsi="宋体" w:eastAsia="宋体" w:cs="宋体"/>
          <w:color w:val="000000"/>
          <w:kern w:val="2"/>
          <w:sz w:val="24"/>
          <w:szCs w:val="24"/>
          <w:shd w:val="clear" w:color="auto" w:fill="FFFFFF"/>
          <w:lang w:eastAsia="zh-CN"/>
        </w:rPr>
        <w:t>“是我国辽、蒙、冀地区最著名的新石器时代文化之一，其充满想象力的玉器造型在我国玉器发展史上独树一帜，与玉器同样发达的良渚文化南北呼应，熠熠生辉”。“它”是</w:t>
      </w:r>
      <w:r>
        <w:rPr>
          <w:rFonts w:hint="default" w:ascii="Times New Roman" w:hAnsi="Times New Roman" w:eastAsia="宋体" w:cs="Times New Roman"/>
          <w:color w:val="000000"/>
          <w:kern w:val="2"/>
          <w:sz w:val="24"/>
          <w:szCs w:val="24"/>
          <w:shd w:val="clear" w:color="auto" w:fill="FFFFFF"/>
          <w:lang w:eastAsia="zh-CN"/>
        </w:rPr>
        <w:t>(   )</w:t>
      </w:r>
    </w:p>
    <w:p w14:paraId="0B2F830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A.仰韶文化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B.红山文化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C.大汶口文化</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D.龙山文化</w:t>
      </w:r>
    </w:p>
    <w:p w14:paraId="5262EE6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17</w:t>
      </w:r>
      <w:r>
        <w:rPr>
          <w:rFonts w:hint="default" w:ascii="Times New Roman" w:hAnsi="Times New Roman" w:eastAsia="宋体" w:cs="Times New Roman"/>
          <w:color w:val="000000"/>
          <w:kern w:val="2"/>
          <w:sz w:val="24"/>
          <w:szCs w:val="24"/>
          <w:shd w:val="clear" w:color="auto" w:fill="FFFFFF"/>
          <w:lang w:eastAsia="zh-CN"/>
        </w:rPr>
        <w:t>.魏晋时，世家大族有意从小教育子弟修习《孝经》《论语》《五经》等儒家经典，并凭借家族权势，利用各种方式为子弟激扬名声。这一做法(   )</w:t>
      </w:r>
    </w:p>
    <w:p w14:paraId="39BDF943">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A.适应了官员选拔需要</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B.促进了社会思想的活跃</w:t>
      </w:r>
    </w:p>
    <w:p w14:paraId="34A3FB19">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C.重构了官方教育体系</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D.体现了儒家思想哲学化</w:t>
      </w:r>
    </w:p>
    <w:p w14:paraId="20642EE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18</w:t>
      </w:r>
      <w:r>
        <w:rPr>
          <w:rFonts w:hint="default" w:ascii="Times New Roman" w:hAnsi="Times New Roman" w:eastAsia="宋体" w:cs="Times New Roman"/>
          <w:color w:val="000000"/>
          <w:kern w:val="2"/>
          <w:sz w:val="24"/>
          <w:szCs w:val="24"/>
          <w:shd w:val="clear" w:color="auto" w:fill="FFFFFF"/>
          <w:lang w:eastAsia="zh-CN"/>
        </w:rPr>
        <w:t>.民国初年的各政党，</w:t>
      </w:r>
      <w:r>
        <w:rPr>
          <w:rFonts w:hint="eastAsia" w:ascii="宋体" w:hAnsi="宋体" w:eastAsia="宋体" w:cs="宋体"/>
          <w:color w:val="000000"/>
          <w:kern w:val="2"/>
          <w:sz w:val="24"/>
          <w:szCs w:val="24"/>
          <w:shd w:val="clear" w:color="auto" w:fill="FFFFFF"/>
          <w:lang w:eastAsia="zh-CN"/>
        </w:rPr>
        <w:t>常为“意气所激，往往举天下万事，而悉纳之于党争范围之中”，“有甲党指为大奸巨慝，乙党称以至圣极贤者”。这</w:t>
      </w:r>
      <w:r>
        <w:rPr>
          <w:rFonts w:hint="default" w:ascii="Times New Roman" w:hAnsi="Times New Roman" w:eastAsia="宋体" w:cs="Times New Roman"/>
          <w:color w:val="000000"/>
          <w:kern w:val="2"/>
          <w:sz w:val="24"/>
          <w:szCs w:val="24"/>
          <w:shd w:val="clear" w:color="auto" w:fill="FFFFFF"/>
          <w:lang w:eastAsia="zh-CN"/>
        </w:rPr>
        <w:t>反映出当时(   )</w:t>
      </w:r>
    </w:p>
    <w:p w14:paraId="617F028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A.民族国家意识增强</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B.政党政治有待完善</w:t>
      </w:r>
    </w:p>
    <w:p w14:paraId="430FB34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C.政党从政顺应民意</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D.议会成为权力中心</w:t>
      </w:r>
    </w:p>
    <w:p w14:paraId="103C017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w:t>
      </w:r>
      <w:r>
        <w:rPr>
          <w:rFonts w:hint="eastAsia" w:ascii="Times New Roman" w:hAnsi="Times New Roman" w:cs="Times New Roman"/>
          <w:color w:val="000000"/>
          <w:kern w:val="2"/>
          <w:sz w:val="24"/>
          <w:szCs w:val="24"/>
          <w:shd w:val="clear" w:color="auto" w:fill="FFFFFF"/>
          <w:lang w:val="en-US" w:eastAsia="zh-CN"/>
        </w:rPr>
        <w:t>9</w:t>
      </w:r>
      <w:r>
        <w:rPr>
          <w:rFonts w:hint="default" w:ascii="Times New Roman" w:hAnsi="Times New Roman" w:eastAsia="宋体" w:cs="Times New Roman"/>
          <w:color w:val="000000"/>
          <w:kern w:val="2"/>
          <w:sz w:val="24"/>
          <w:szCs w:val="24"/>
          <w:shd w:val="clear" w:color="auto" w:fill="FFFFFF"/>
          <w:lang w:eastAsia="zh-CN"/>
        </w:rPr>
        <w:t>.在5—6世纪左右，西欧国家的贷款主要是教会对穷人的一种接济，无须返还，是对他们生活上的一种援助。后来出现了一种高利贷，则是在一定期限内将贷得的东西返还清楚，还需要付一些额外的费用。这一变化的根源在于(   )</w:t>
      </w:r>
    </w:p>
    <w:p w14:paraId="6AF485D6">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A.商品经济发展</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B.教会日益腐败</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C.庄园经济发展</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D.人文主义复兴</w:t>
      </w:r>
    </w:p>
    <w:p w14:paraId="22EFBCA1">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20</w:t>
      </w:r>
      <w:r>
        <w:rPr>
          <w:rFonts w:hint="default" w:ascii="Times New Roman" w:hAnsi="Times New Roman" w:eastAsia="宋体" w:cs="Times New Roman"/>
          <w:color w:val="000000"/>
          <w:kern w:val="2"/>
          <w:sz w:val="24"/>
          <w:szCs w:val="24"/>
          <w:shd w:val="clear" w:color="auto" w:fill="FFFFFF"/>
          <w:lang w:eastAsia="zh-CN"/>
        </w:rPr>
        <w:t>.英国政府所有的文官选拔考试，都要在公共媒体，如报刊、广播上公示于众，并且要注明招考的职务、责任、待遇、报考资格、考试科目、考试时间和考试地点。考试的最终结果要张榜公示，并告知考生本人。上述举措(   )</w:t>
      </w:r>
    </w:p>
    <w:p w14:paraId="3763CE25">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A.减轻了国家财政的负担</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B.保证了文官的政治中立性</w:t>
      </w:r>
    </w:p>
    <w:p w14:paraId="33D6094F">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C.确保了政府的廉洁高效</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D.提升了文官选拔的公正性</w:t>
      </w:r>
    </w:p>
    <w:p w14:paraId="05591EF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21</w:t>
      </w:r>
      <w:r>
        <w:rPr>
          <w:rFonts w:hint="default" w:ascii="Times New Roman" w:hAnsi="Times New Roman" w:eastAsia="宋体" w:cs="Times New Roman"/>
          <w:color w:val="000000"/>
          <w:kern w:val="2"/>
          <w:sz w:val="24"/>
          <w:szCs w:val="24"/>
          <w:shd w:val="clear" w:color="auto" w:fill="FFFFFF"/>
          <w:lang w:eastAsia="zh-CN"/>
        </w:rPr>
        <w:t>.阿尔弗雷</w:t>
      </w:r>
      <w:r>
        <w:rPr>
          <w:rFonts w:hint="eastAsia" w:ascii="宋体" w:hAnsi="宋体" w:eastAsia="宋体" w:cs="宋体"/>
          <w:color w:val="000000"/>
          <w:kern w:val="2"/>
          <w:sz w:val="24"/>
          <w:szCs w:val="24"/>
          <w:shd w:val="clear" w:color="auto" w:fill="FFFFFF"/>
          <w:lang w:eastAsia="zh-CN"/>
        </w:rPr>
        <w:t>德·蒙德爵士在英国帝国战争博物馆的开馆仪式致辞中说：“帝国战争博物馆的建立并不是为了纪念帝国在军事方面的荣光，而是记录国家和人民在战火中所经历的苦难和做出的牺牲。这些无法估量的损失和国家的磨难让我们更加渴望一个更好的新世界的诞生。”这反</w:t>
      </w:r>
      <w:r>
        <w:rPr>
          <w:rFonts w:hint="default" w:ascii="Times New Roman" w:hAnsi="Times New Roman" w:eastAsia="宋体" w:cs="Times New Roman"/>
          <w:color w:val="000000"/>
          <w:kern w:val="2"/>
          <w:sz w:val="24"/>
          <w:szCs w:val="24"/>
          <w:shd w:val="clear" w:color="auto" w:fill="FFFFFF"/>
          <w:lang w:eastAsia="zh-CN"/>
        </w:rPr>
        <w:t>映出博物馆的主要功能是(   )</w:t>
      </w:r>
    </w:p>
    <w:p w14:paraId="00E43BD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A.推动世界不同地区文化的融合</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B.促进文化多样性和可持续性发展</w:t>
      </w:r>
    </w:p>
    <w:p w14:paraId="6F42518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C.为普通民众提供专业化服务</w:t>
      </w:r>
      <w:r>
        <w:rPr>
          <w:rFonts w:hint="default" w:ascii="Times New Roman" w:hAnsi="Times New Roman" w:eastAsia="宋体" w:cs="Times New Roman"/>
          <w:color w:val="000000"/>
          <w:kern w:val="2"/>
          <w:sz w:val="24"/>
          <w:szCs w:val="24"/>
          <w:shd w:val="clear" w:color="auto" w:fill="FFFFFF"/>
          <w:lang w:eastAsia="zh-CN"/>
        </w:rPr>
        <w:tab/>
      </w:r>
      <w:r>
        <w:rPr>
          <w:rFonts w:hint="default" w:ascii="Times New Roman" w:hAnsi="Times New Roman" w:eastAsia="宋体" w:cs="Times New Roman"/>
          <w:color w:val="000000"/>
          <w:kern w:val="2"/>
          <w:sz w:val="24"/>
          <w:szCs w:val="24"/>
          <w:shd w:val="clear" w:color="auto" w:fill="FFFFFF"/>
          <w:lang w:eastAsia="zh-CN"/>
        </w:rPr>
        <w:t>D.具有鲜明的社会教化的作用</w:t>
      </w:r>
    </w:p>
    <w:p w14:paraId="7E2FCE14">
      <w:pPr>
        <w:widowControl w:val="0"/>
        <w:tabs>
          <w:tab w:val="left" w:pos="2075"/>
          <w:tab w:val="left" w:pos="4156"/>
          <w:tab w:val="left" w:pos="6231"/>
        </w:tabs>
        <w:spacing w:line="360" w:lineRule="auto"/>
        <w:rPr>
          <w:rFonts w:hint="default" w:ascii="Times New Roman" w:hAnsi="Times New Roman" w:eastAsia="宋体" w:cs="Times New Roman"/>
          <w:b/>
          <w:bCs/>
          <w:color w:val="000000"/>
          <w:kern w:val="2"/>
          <w:sz w:val="24"/>
          <w:szCs w:val="24"/>
          <w:shd w:val="clear" w:color="auto" w:fill="FFFFFF"/>
          <w:lang w:val="en-US" w:eastAsia="zh-CN"/>
        </w:rPr>
      </w:pPr>
      <w:r>
        <w:rPr>
          <w:rFonts w:hint="eastAsia" w:ascii="Times New Roman" w:hAnsi="Times New Roman" w:cs="Times New Roman"/>
          <w:b/>
          <w:bCs/>
          <w:color w:val="000000"/>
          <w:kern w:val="2"/>
          <w:sz w:val="24"/>
          <w:szCs w:val="24"/>
          <w:shd w:val="clear" w:color="auto" w:fill="FFFFFF"/>
          <w:lang w:val="en-US" w:eastAsia="zh-CN"/>
        </w:rPr>
        <w:t>三、非选择题：本题共4题，共52分。</w:t>
      </w:r>
    </w:p>
    <w:p w14:paraId="4841501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22</w:t>
      </w:r>
      <w:r>
        <w:rPr>
          <w:rFonts w:hint="default" w:ascii="Times New Roman" w:hAnsi="Times New Roman" w:eastAsia="宋体" w:cs="Times New Roman"/>
          <w:color w:val="000000"/>
          <w:kern w:val="2"/>
          <w:sz w:val="24"/>
          <w:szCs w:val="24"/>
          <w:shd w:val="clear" w:color="auto" w:fill="FFFFFF"/>
          <w:lang w:eastAsia="zh-CN"/>
        </w:rPr>
        <w:t>.阅读材料，完成下列要求。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20分</w:t>
      </w:r>
      <w:r>
        <w:rPr>
          <w:rFonts w:hint="eastAsia" w:ascii="Times New Roman" w:hAnsi="Times New Roman" w:cs="Times New Roman"/>
          <w:color w:val="000000"/>
          <w:kern w:val="2"/>
          <w:sz w:val="24"/>
          <w:szCs w:val="24"/>
          <w:shd w:val="clear" w:color="auto" w:fill="FFFFFF"/>
          <w:lang w:eastAsia="zh-CN"/>
        </w:rPr>
        <w:t>）</w:t>
      </w:r>
    </w:p>
    <w:p w14:paraId="19767217">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w:t>
      </w:r>
      <w:r>
        <w:rPr>
          <w:rFonts w:hint="default" w:ascii="Times New Roman" w:hAnsi="Times New Roman" w:eastAsia="楷体" w:cs="Times New Roman"/>
          <w:color w:val="000000"/>
          <w:kern w:val="2"/>
          <w:sz w:val="24"/>
          <w:szCs w:val="24"/>
          <w:shd w:val="clear" w:color="auto" w:fill="FFFFFF"/>
          <w:lang w:eastAsia="zh-CN"/>
        </w:rPr>
        <w:t xml:space="preserve">  英国学者李约瑟研究发现，中国橙传入欧洲主要发生在两个时段，经由两条不同路线：一是在公元前1世纪末，橙通过罗马</w:t>
      </w:r>
      <w:r>
        <w:rPr>
          <w:rFonts w:hint="eastAsia" w:ascii="Times New Roman" w:hAnsi="Times New Roman" w:eastAsia="楷体" w:cs="Times New Roman"/>
          <w:color w:val="000000"/>
          <w:kern w:val="2"/>
          <w:sz w:val="24"/>
          <w:szCs w:val="24"/>
          <w:shd w:val="clear" w:color="auto" w:fill="FFFFFF"/>
          <w:lang w:eastAsia="zh-CN"/>
        </w:rPr>
        <w:t>——</w:t>
      </w:r>
      <w:r>
        <w:rPr>
          <w:rFonts w:hint="default" w:ascii="Times New Roman" w:hAnsi="Times New Roman" w:eastAsia="楷体" w:cs="Times New Roman"/>
          <w:color w:val="000000"/>
          <w:kern w:val="2"/>
          <w:sz w:val="24"/>
          <w:szCs w:val="24"/>
          <w:shd w:val="clear" w:color="auto" w:fill="FFFFFF"/>
          <w:lang w:eastAsia="zh-CN"/>
        </w:rPr>
        <w:t>印度贸易路线；另外就是随着阿拉伯帝国的兴起，由于伊斯兰教对植物和园林艺术的特殊感情，形成了另一条橙传播路线。中国曾经海上丝路西传的主流说法是16世纪中叶，葡萄牙驻果阿总督若</w:t>
      </w:r>
      <w:r>
        <w:rPr>
          <w:rFonts w:hint="eastAsia" w:ascii="楷体" w:hAnsi="楷体" w:eastAsia="楷体" w:cs="楷体"/>
          <w:color w:val="000000"/>
          <w:kern w:val="2"/>
          <w:sz w:val="24"/>
          <w:szCs w:val="24"/>
          <w:shd w:val="clear" w:color="auto" w:fill="FFFFFF"/>
          <w:lang w:eastAsia="zh-CN"/>
        </w:rPr>
        <w:t>昂·德·卡</w:t>
      </w:r>
      <w:r>
        <w:rPr>
          <w:rFonts w:hint="default" w:ascii="Times New Roman" w:hAnsi="Times New Roman" w:eastAsia="楷体" w:cs="Times New Roman"/>
          <w:color w:val="000000"/>
          <w:kern w:val="2"/>
          <w:sz w:val="24"/>
          <w:szCs w:val="24"/>
          <w:shd w:val="clear" w:color="auto" w:fill="FFFFFF"/>
          <w:lang w:eastAsia="zh-CN"/>
        </w:rPr>
        <w:t>斯特罗把从印度带回的树种献给时任首相贡</w:t>
      </w:r>
      <w:r>
        <w:rPr>
          <w:rFonts w:hint="eastAsia" w:ascii="楷体" w:hAnsi="楷体" w:eastAsia="楷体" w:cs="楷体"/>
          <w:color w:val="000000"/>
          <w:kern w:val="2"/>
          <w:sz w:val="24"/>
          <w:szCs w:val="24"/>
          <w:shd w:val="clear" w:color="auto" w:fill="FFFFFF"/>
          <w:lang w:eastAsia="zh-CN"/>
        </w:rPr>
        <w:t>多·梅勒。后</w:t>
      </w:r>
      <w:r>
        <w:rPr>
          <w:rFonts w:hint="default" w:ascii="Times New Roman" w:hAnsi="Times New Roman" w:eastAsia="楷体" w:cs="Times New Roman"/>
          <w:color w:val="000000"/>
          <w:kern w:val="2"/>
          <w:sz w:val="24"/>
          <w:szCs w:val="24"/>
          <w:shd w:val="clear" w:color="auto" w:fill="FFFFFF"/>
          <w:lang w:eastAsia="zh-CN"/>
        </w:rPr>
        <w:t>者广泛种植，但仅存活一株。这株橙树后来开枝散叶，成为欧洲所有此品种的祖先。</w:t>
      </w:r>
    </w:p>
    <w:p w14:paraId="586A6BA8">
      <w:pPr>
        <w:widowControl w:val="0"/>
        <w:tabs>
          <w:tab w:val="left" w:pos="2075"/>
          <w:tab w:val="left" w:pos="4156"/>
          <w:tab w:val="left" w:pos="6231"/>
        </w:tabs>
        <w:spacing w:line="360" w:lineRule="auto"/>
        <w:ind w:firstLine="480" w:firstLineChars="200"/>
        <w:rPr>
          <w:rFonts w:hint="eastAsia" w:ascii="楷体" w:hAnsi="楷体" w:eastAsia="楷体" w:cs="楷体"/>
          <w:color w:val="000000"/>
          <w:kern w:val="2"/>
          <w:sz w:val="24"/>
          <w:szCs w:val="24"/>
          <w:shd w:val="clear" w:color="auto" w:fill="FFFFFF"/>
          <w:lang w:eastAsia="zh-CN"/>
        </w:rPr>
      </w:pPr>
      <w:r>
        <w:rPr>
          <w:rFonts w:hint="default" w:ascii="Times New Roman" w:hAnsi="Times New Roman" w:eastAsia="楷体" w:cs="Times New Roman"/>
          <w:color w:val="000000"/>
          <w:kern w:val="2"/>
          <w:sz w:val="24"/>
          <w:szCs w:val="24"/>
          <w:shd w:val="clear" w:color="auto" w:fill="FFFFFF"/>
          <w:lang w:eastAsia="zh-CN"/>
        </w:rPr>
        <w:t>中国酸橙经由阿拉伯商旅带到阿拉伯世界后，得益于伊斯兰教对植物怀有的特殊宗教感情和日益成熟的栽培技术，酸橙树逐渐遍及阿拉伯世界，尤其以西班牙、西西里和耶路撒冷等地的酸橙种植蔚为壮观。在12世纪的西西里，酸</w:t>
      </w:r>
      <w:r>
        <w:rPr>
          <w:rFonts w:hint="eastAsia" w:ascii="楷体" w:hAnsi="楷体" w:eastAsia="楷体" w:cs="楷体"/>
          <w:color w:val="000000"/>
          <w:kern w:val="2"/>
          <w:sz w:val="24"/>
          <w:szCs w:val="24"/>
          <w:shd w:val="clear" w:color="auto" w:fill="FFFFFF"/>
          <w:lang w:eastAsia="zh-CN"/>
        </w:rPr>
        <w:t>橙只是“愉悦眼睛之物，没有其他任何用途”。不过，这一实物景观到了文艺复兴时期逐渐演变成艺术景观。在上千幅文艺复兴绘画中，比如波提切利的《春》和《维纳斯的诞生》、扬·凡·艾克的《阿尔诺芬尼夫妇像》等经典画作中，酸橙都是一个必不可少的意象，暗含着圣洁、多产、高贵和富有等多重艺术内涵。</w:t>
      </w:r>
    </w:p>
    <w:p w14:paraId="6806F0EA">
      <w:pPr>
        <w:widowControl w:val="0"/>
        <w:tabs>
          <w:tab w:val="left" w:pos="2075"/>
          <w:tab w:val="left" w:pos="4156"/>
          <w:tab w:val="left" w:pos="6231"/>
        </w:tabs>
        <w:spacing w:line="360" w:lineRule="auto"/>
        <w:ind w:firstLine="480"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color w:val="000000"/>
          <w:kern w:val="2"/>
          <w:sz w:val="24"/>
          <w:szCs w:val="24"/>
          <w:shd w:val="clear" w:color="auto" w:fill="FFFFFF"/>
          <w:lang w:eastAsia="zh-CN"/>
        </w:rPr>
        <w:t>随着时间推移、丝路上的商品交换和文化交流，酸橙花的香，酸橙汁的调味价值及它的药用价值都慢慢被欧洲人接受和使用。薄伽丘的《十日谈》中就有贵妇的闺房弥散着橙花的香味，而且有通过橙花香水浇灌的植物，会芳香四溢的描写。而咸肉、熏鱼和沙拉辅以酸橙的搭配也随着基督教文明与伊斯兰文明的文明冲突和交流互鉴，成为欧洲餐桌上的美食。</w:t>
      </w:r>
    </w:p>
    <w:p w14:paraId="73DF8E24">
      <w:pPr>
        <w:widowControl w:val="0"/>
        <w:tabs>
          <w:tab w:val="left" w:pos="2075"/>
          <w:tab w:val="left" w:pos="4156"/>
          <w:tab w:val="left" w:pos="6231"/>
        </w:tabs>
        <w:spacing w:line="360" w:lineRule="auto"/>
        <w:ind w:firstLine="480"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color w:val="000000"/>
          <w:kern w:val="2"/>
          <w:sz w:val="24"/>
          <w:szCs w:val="24"/>
          <w:shd w:val="clear" w:color="auto" w:fill="FFFFFF"/>
          <w:lang w:eastAsia="zh-CN"/>
        </w:rPr>
        <w:t>不过，需要指出的是这些功用并非欧洲人的创见，只是阿拉伯世界对酸橙使用方式的再一次复现，甚至在中国古籍中都能找到类似记载。</w:t>
      </w:r>
    </w:p>
    <w:p w14:paraId="4B91B552">
      <w:pPr>
        <w:widowControl w:val="0"/>
        <w:tabs>
          <w:tab w:val="left" w:pos="2075"/>
          <w:tab w:val="left" w:pos="4156"/>
          <w:tab w:val="left" w:pos="6231"/>
        </w:tabs>
        <w:spacing w:line="360" w:lineRule="auto"/>
        <w:ind w:firstLine="480" w:firstLineChars="200"/>
        <w:jc w:val="right"/>
        <w:rPr>
          <w:rFonts w:hint="eastAsia" w:ascii="楷体" w:hAnsi="楷体" w:eastAsia="楷体" w:cs="楷体"/>
          <w:color w:val="000000"/>
          <w:kern w:val="2"/>
          <w:sz w:val="24"/>
          <w:szCs w:val="24"/>
          <w:shd w:val="clear" w:color="auto" w:fill="FFFFFF"/>
          <w:lang w:eastAsia="zh-CN"/>
        </w:rPr>
      </w:pPr>
      <w:r>
        <w:rPr>
          <w:rFonts w:hint="eastAsia" w:ascii="楷体" w:hAnsi="楷体" w:eastAsia="楷体" w:cs="楷体"/>
          <w:color w:val="000000"/>
          <w:kern w:val="2"/>
          <w:sz w:val="24"/>
          <w:szCs w:val="24"/>
          <w:shd w:val="clear" w:color="auto" w:fill="FFFFFF"/>
          <w:lang w:eastAsia="zh-CN"/>
        </w:rPr>
        <w:t>——摘编自朱禹函等《中国“橙”的丝路西传与对欧洲社会影响探析》</w:t>
      </w:r>
    </w:p>
    <w:p w14:paraId="1BC1283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（1）根据材料并结合所学知识，概括中</w:t>
      </w:r>
      <w:r>
        <w:rPr>
          <w:rFonts w:hint="eastAsia" w:ascii="宋体" w:hAnsi="宋体" w:eastAsia="宋体" w:cs="宋体"/>
          <w:color w:val="000000"/>
          <w:kern w:val="2"/>
          <w:sz w:val="24"/>
          <w:szCs w:val="24"/>
          <w:shd w:val="clear" w:color="auto" w:fill="FFFFFF"/>
          <w:lang w:eastAsia="zh-CN"/>
        </w:rPr>
        <w:t>国“橙”西传的</w:t>
      </w:r>
      <w:r>
        <w:rPr>
          <w:rFonts w:hint="default" w:ascii="Times New Roman" w:hAnsi="Times New Roman" w:eastAsia="宋体" w:cs="Times New Roman"/>
          <w:color w:val="000000"/>
          <w:kern w:val="2"/>
          <w:sz w:val="24"/>
          <w:szCs w:val="24"/>
          <w:shd w:val="clear" w:color="auto" w:fill="FFFFFF"/>
          <w:lang w:eastAsia="zh-CN"/>
        </w:rPr>
        <w:t>主要途径。</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4分</w:t>
      </w:r>
      <w:r>
        <w:rPr>
          <w:rFonts w:hint="eastAsia" w:ascii="Times New Roman" w:hAnsi="Times New Roman" w:cs="Times New Roman"/>
          <w:color w:val="000000"/>
          <w:kern w:val="2"/>
          <w:sz w:val="24"/>
          <w:szCs w:val="24"/>
          <w:shd w:val="clear" w:color="auto" w:fill="FFFFFF"/>
          <w:lang w:eastAsia="zh-CN"/>
        </w:rPr>
        <w:t>）</w:t>
      </w:r>
    </w:p>
    <w:p w14:paraId="78A582C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（2）根据材料，分析</w:t>
      </w:r>
      <w:r>
        <w:rPr>
          <w:rFonts w:hint="eastAsia" w:ascii="宋体" w:hAnsi="宋体" w:eastAsia="宋体" w:cs="宋体"/>
          <w:color w:val="000000"/>
          <w:kern w:val="2"/>
          <w:sz w:val="24"/>
          <w:szCs w:val="24"/>
          <w:shd w:val="clear" w:color="auto" w:fill="FFFFFF"/>
          <w:lang w:eastAsia="zh-CN"/>
        </w:rPr>
        <w:t>中国“橙”西</w:t>
      </w:r>
      <w:r>
        <w:rPr>
          <w:rFonts w:hint="default" w:ascii="Times New Roman" w:hAnsi="Times New Roman" w:eastAsia="宋体" w:cs="Times New Roman"/>
          <w:color w:val="000000"/>
          <w:kern w:val="2"/>
          <w:sz w:val="24"/>
          <w:szCs w:val="24"/>
          <w:shd w:val="clear" w:color="auto" w:fill="FFFFFF"/>
          <w:lang w:eastAsia="zh-CN"/>
        </w:rPr>
        <w:t>传对欧洲社会的主要影响。</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8分</w:t>
      </w:r>
      <w:r>
        <w:rPr>
          <w:rFonts w:hint="eastAsia" w:ascii="Times New Roman" w:hAnsi="Times New Roman" w:cs="Times New Roman"/>
          <w:color w:val="000000"/>
          <w:kern w:val="2"/>
          <w:sz w:val="24"/>
          <w:szCs w:val="24"/>
          <w:shd w:val="clear" w:color="auto" w:fill="FFFFFF"/>
          <w:lang w:eastAsia="zh-CN"/>
        </w:rPr>
        <w:t>）</w:t>
      </w:r>
    </w:p>
    <w:p w14:paraId="75516E99">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（3）根据材料并结合所学知识</w:t>
      </w:r>
      <w:r>
        <w:rPr>
          <w:rFonts w:hint="eastAsia" w:ascii="宋体" w:hAnsi="宋体" w:eastAsia="宋体" w:cs="宋体"/>
          <w:color w:val="000000"/>
          <w:kern w:val="2"/>
          <w:sz w:val="24"/>
          <w:szCs w:val="24"/>
          <w:shd w:val="clear" w:color="auto" w:fill="FFFFFF"/>
          <w:lang w:eastAsia="zh-CN"/>
        </w:rPr>
        <w:t>，评价“橙”在东西</w:t>
      </w:r>
      <w:r>
        <w:rPr>
          <w:rFonts w:hint="default" w:ascii="Times New Roman" w:hAnsi="Times New Roman" w:eastAsia="宋体" w:cs="Times New Roman"/>
          <w:color w:val="000000"/>
          <w:kern w:val="2"/>
          <w:sz w:val="24"/>
          <w:szCs w:val="24"/>
          <w:shd w:val="clear" w:color="auto" w:fill="FFFFFF"/>
          <w:lang w:eastAsia="zh-CN"/>
        </w:rPr>
        <w:t>方文化交流中的作用。</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8分</w:t>
      </w:r>
      <w:r>
        <w:rPr>
          <w:rFonts w:hint="eastAsia" w:ascii="Times New Roman" w:hAnsi="Times New Roman" w:cs="Times New Roman"/>
          <w:color w:val="000000"/>
          <w:kern w:val="2"/>
          <w:sz w:val="24"/>
          <w:szCs w:val="24"/>
          <w:shd w:val="clear" w:color="auto" w:fill="FFFFFF"/>
          <w:lang w:eastAsia="zh-CN"/>
        </w:rPr>
        <w:t>）</w:t>
      </w:r>
    </w:p>
    <w:p w14:paraId="5C83B90C">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23.</w:t>
      </w:r>
      <w:r>
        <w:rPr>
          <w:rFonts w:hint="default" w:ascii="Times New Roman" w:hAnsi="Times New Roman" w:eastAsia="宋体" w:cs="Times New Roman"/>
          <w:color w:val="000000"/>
          <w:kern w:val="2"/>
          <w:sz w:val="24"/>
          <w:szCs w:val="24"/>
          <w:shd w:val="clear" w:color="auto" w:fill="FFFFFF"/>
          <w:lang w:eastAsia="zh-CN"/>
        </w:rPr>
        <w:t>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12分</w:t>
      </w:r>
      <w:r>
        <w:rPr>
          <w:rFonts w:hint="eastAsia" w:ascii="Times New Roman" w:hAnsi="Times New Roman" w:cs="Times New Roman"/>
          <w:color w:val="000000"/>
          <w:kern w:val="2"/>
          <w:sz w:val="24"/>
          <w:szCs w:val="24"/>
          <w:shd w:val="clear" w:color="auto" w:fill="FFFFFF"/>
          <w:lang w:eastAsia="zh-CN"/>
        </w:rPr>
        <w:t>）</w:t>
      </w:r>
    </w:p>
    <w:p w14:paraId="294FF887">
      <w:pPr>
        <w:widowControl w:val="0"/>
        <w:tabs>
          <w:tab w:val="left" w:pos="2075"/>
          <w:tab w:val="left" w:pos="4156"/>
          <w:tab w:val="left" w:pos="6231"/>
        </w:tabs>
        <w:spacing w:line="360" w:lineRule="auto"/>
        <w:ind w:firstLine="482" w:firstLineChars="200"/>
        <w:rPr>
          <w:rFonts w:hint="eastAsia" w:ascii="楷体" w:hAnsi="楷体" w:eastAsia="楷体" w:cs="楷体"/>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材料一</w:t>
      </w:r>
      <w:r>
        <w:rPr>
          <w:rFonts w:hint="eastAsia" w:ascii="Times New Roman" w:hAnsi="Times New Roman" w:eastAsia="楷体" w:cs="Times New Roman"/>
          <w:color w:val="000000"/>
          <w:kern w:val="2"/>
          <w:sz w:val="24"/>
          <w:szCs w:val="24"/>
          <w:shd w:val="clear" w:color="auto" w:fill="FFFFFF"/>
          <w:lang w:val="en-US" w:eastAsia="zh-CN"/>
        </w:rPr>
        <w:t xml:space="preserve">  </w:t>
      </w:r>
      <w:r>
        <w:rPr>
          <w:rFonts w:hint="default" w:ascii="Times New Roman" w:hAnsi="Times New Roman" w:eastAsia="楷体" w:cs="Times New Roman"/>
          <w:color w:val="000000"/>
          <w:kern w:val="2"/>
          <w:sz w:val="24"/>
          <w:szCs w:val="24"/>
          <w:shd w:val="clear" w:color="auto" w:fill="FFFFFF"/>
          <w:lang w:eastAsia="zh-CN"/>
        </w:rPr>
        <w:t>中国近代最早的气象观测站网，是1873年前后由晚清中国海关总税务司赫德建立的。1916年，</w:t>
      </w:r>
      <w:r>
        <w:rPr>
          <w:rFonts w:hint="eastAsia" w:ascii="Times New Roman" w:hAnsi="Times New Roman" w:eastAsia="楷体" w:cs="Times New Roman"/>
          <w:color w:val="000000"/>
          <w:kern w:val="2"/>
          <w:sz w:val="24"/>
          <w:szCs w:val="24"/>
          <w:shd w:val="clear" w:color="auto" w:fill="FFFFFF"/>
          <w:lang w:val="en-US" w:eastAsia="zh-CN"/>
        </w:rPr>
        <w:t>张謇</w:t>
      </w:r>
      <w:r>
        <w:rPr>
          <w:rFonts w:hint="default" w:ascii="Times New Roman" w:hAnsi="Times New Roman" w:eastAsia="楷体" w:cs="Times New Roman"/>
          <w:color w:val="000000"/>
          <w:kern w:val="2"/>
          <w:sz w:val="24"/>
          <w:szCs w:val="24"/>
          <w:shd w:val="clear" w:color="auto" w:fill="FFFFFF"/>
          <w:lang w:eastAsia="zh-CN"/>
        </w:rPr>
        <w:t>在南通建立了第一所国人自办的民营</w:t>
      </w:r>
      <w:r>
        <w:rPr>
          <w:rFonts w:hint="eastAsia" w:ascii="楷体" w:hAnsi="楷体" w:eastAsia="楷体" w:cs="楷体"/>
          <w:color w:val="000000"/>
          <w:kern w:val="2"/>
          <w:sz w:val="24"/>
          <w:szCs w:val="24"/>
          <w:shd w:val="clear" w:color="auto" w:fill="FFFFFF"/>
          <w:lang w:eastAsia="zh-CN"/>
        </w:rPr>
        <w:t>气象台——军山气象台，他提出：“农政系乎民时，民时关系气象”，“气象不明，不足以完全自治”。</w:t>
      </w:r>
      <w:r>
        <w:rPr>
          <w:rFonts w:hint="default" w:ascii="Times New Roman" w:hAnsi="Times New Roman" w:eastAsia="楷体" w:cs="Times New Roman"/>
          <w:color w:val="000000"/>
          <w:kern w:val="2"/>
          <w:sz w:val="24"/>
          <w:szCs w:val="24"/>
          <w:shd w:val="clear" w:color="auto" w:fill="FFFFFF"/>
          <w:lang w:eastAsia="zh-CN"/>
        </w:rPr>
        <w:t>1921年，竺可桢撰文：</w:t>
      </w:r>
      <w:r>
        <w:rPr>
          <w:rFonts w:hint="eastAsia" w:ascii="楷体" w:hAnsi="楷体" w:eastAsia="楷体" w:cs="楷体"/>
          <w:color w:val="000000"/>
          <w:kern w:val="2"/>
          <w:sz w:val="24"/>
          <w:szCs w:val="24"/>
          <w:shd w:val="clear" w:color="auto" w:fill="FFFFFF"/>
          <w:lang w:eastAsia="zh-CN"/>
        </w:rPr>
        <w:t>“德之割青岛，英之据香港，法之租徐家汇，其始焉即着手组织气象台……夫英法各国，非有爱于我也，徒以为其本国之海运谋安全计，不得不有气象台之设置耳，我国政府社会既无意经营，则英法各国即不能不越俎而代谋。欧美人士常普我为半开化之民族，岂足怪哉……夫制气象图，乃一国政府之事，而劳外国教会之代谋亦大可耻也。”</w:t>
      </w:r>
    </w:p>
    <w:p w14:paraId="7B544A29">
      <w:pPr>
        <w:widowControl w:val="0"/>
        <w:tabs>
          <w:tab w:val="left" w:pos="2075"/>
          <w:tab w:val="left" w:pos="4156"/>
          <w:tab w:val="left" w:pos="6231"/>
        </w:tabs>
        <w:spacing w:line="360" w:lineRule="auto"/>
        <w:ind w:firstLine="480" w:firstLineChars="200"/>
        <w:jc w:val="right"/>
        <w:rPr>
          <w:rFonts w:hint="default" w:ascii="Times New Roman" w:hAnsi="Times New Roman" w:eastAsia="楷体" w:cs="Times New Roman"/>
          <w:color w:val="000000"/>
          <w:kern w:val="2"/>
          <w:sz w:val="24"/>
          <w:szCs w:val="24"/>
          <w:shd w:val="clear" w:color="auto" w:fill="FFFFFF"/>
          <w:lang w:eastAsia="zh-CN"/>
        </w:rPr>
      </w:pPr>
      <w:r>
        <w:rPr>
          <w:rFonts w:hint="eastAsia" w:ascii="楷体" w:hAnsi="楷体" w:eastAsia="楷体" w:cs="楷体"/>
          <w:color w:val="000000"/>
          <w:kern w:val="2"/>
          <w:sz w:val="24"/>
          <w:szCs w:val="24"/>
          <w:shd w:val="clear" w:color="auto" w:fill="FFFFFF"/>
          <w:lang w:eastAsia="zh-CN"/>
        </w:rPr>
        <w:t>——摘编自叶梦姝等《试论中国气象事业自主建</w:t>
      </w:r>
      <w:r>
        <w:rPr>
          <w:rFonts w:hint="default" w:ascii="Times New Roman" w:hAnsi="Times New Roman" w:eastAsia="楷体" w:cs="Times New Roman"/>
          <w:color w:val="000000"/>
          <w:kern w:val="2"/>
          <w:sz w:val="24"/>
          <w:szCs w:val="24"/>
          <w:shd w:val="clear" w:color="auto" w:fill="FFFFFF"/>
          <w:lang w:eastAsia="zh-CN"/>
        </w:rPr>
        <w:t>设的历程》</w:t>
      </w:r>
    </w:p>
    <w:p w14:paraId="04C75BA7">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材料二</w:t>
      </w:r>
      <w:r>
        <w:rPr>
          <w:rFonts w:hint="eastAsia" w:ascii="Times New Roman" w:hAnsi="Times New Roman" w:eastAsia="楷体" w:cs="Times New Roman"/>
          <w:color w:val="000000"/>
          <w:kern w:val="2"/>
          <w:sz w:val="24"/>
          <w:szCs w:val="24"/>
          <w:shd w:val="clear" w:color="auto" w:fill="FFFFFF"/>
          <w:lang w:val="en-US" w:eastAsia="zh-CN"/>
        </w:rPr>
        <w:t xml:space="preserve">  </w:t>
      </w:r>
      <w:r>
        <w:rPr>
          <w:rFonts w:hint="default" w:ascii="Times New Roman" w:hAnsi="Times New Roman" w:eastAsia="楷体" w:cs="Times New Roman"/>
          <w:color w:val="000000"/>
          <w:kern w:val="2"/>
          <w:sz w:val="24"/>
          <w:szCs w:val="24"/>
          <w:shd w:val="clear" w:color="auto" w:fill="FFFFFF"/>
          <w:lang w:eastAsia="zh-CN"/>
        </w:rPr>
        <w:t>1949年12月，军委气象局成立，随后各军区设立气象处，配合空军、海军和其他特殊兵种的建设。1953年，气象部门从军队建制转为政府建制，军委气象局改名为中央气象局。1954年6月，全国气象工作会议召开，确定了第一个五年计划期间气象工作的方针。从1956年6月1日起，在报纸、电台上公开向人民群众发布天气预报。20世纪80年代，我国大气探测现代化建设迅速发展，建成地面观测站2600多个，探空站120多个，太阳辐射站98个，初步形成了国家气象中心、区域气象中心和省级气象台由计算机连接的，从资料收集传输、加工处理、分析预报到产品分发的现代化程度较高的天气预报业务体系。改革开放后，国家气象中心的自动转报系统建成并投入运行，标志着我国气象通信跨入计算机通信的新阶段。</w:t>
      </w:r>
    </w:p>
    <w:p w14:paraId="263B4277">
      <w:pPr>
        <w:widowControl w:val="0"/>
        <w:tabs>
          <w:tab w:val="left" w:pos="2075"/>
          <w:tab w:val="left" w:pos="4156"/>
          <w:tab w:val="left" w:pos="6231"/>
        </w:tabs>
        <w:spacing w:line="360" w:lineRule="auto"/>
        <w:ind w:firstLine="480" w:firstLineChars="200"/>
        <w:jc w:val="right"/>
        <w:rPr>
          <w:rFonts w:hint="default" w:ascii="Times New Roman" w:hAnsi="Times New Roman" w:eastAsia="楷体" w:cs="Times New Roman"/>
          <w:color w:val="000000"/>
          <w:kern w:val="2"/>
          <w:sz w:val="24"/>
          <w:szCs w:val="24"/>
          <w:shd w:val="clear" w:color="auto" w:fill="FFFFFF"/>
          <w:lang w:eastAsia="zh-CN"/>
        </w:rPr>
      </w:pPr>
      <w:r>
        <w:rPr>
          <w:rFonts w:hint="eastAsia" w:ascii="楷体" w:hAnsi="楷体" w:eastAsia="楷体" w:cs="楷体"/>
          <w:color w:val="000000"/>
          <w:kern w:val="2"/>
          <w:sz w:val="24"/>
          <w:szCs w:val="24"/>
          <w:shd w:val="clear" w:color="auto" w:fill="FFFFFF"/>
          <w:lang w:eastAsia="zh-CN"/>
        </w:rPr>
        <w:t>——摘编自王奉安等《新中国气象事业五十年发</w:t>
      </w:r>
      <w:r>
        <w:rPr>
          <w:rFonts w:hint="default" w:ascii="Times New Roman" w:hAnsi="Times New Roman" w:eastAsia="楷体" w:cs="Times New Roman"/>
          <w:color w:val="000000"/>
          <w:kern w:val="2"/>
          <w:sz w:val="24"/>
          <w:szCs w:val="24"/>
          <w:shd w:val="clear" w:color="auto" w:fill="FFFFFF"/>
          <w:lang w:eastAsia="zh-CN"/>
        </w:rPr>
        <w:t>展概论》</w:t>
      </w:r>
    </w:p>
    <w:p w14:paraId="2BEFB164">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（1）根据材料一并结合所学知识，简析近代中国发展气象事业的原因。</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6分</w:t>
      </w:r>
      <w:r>
        <w:rPr>
          <w:rFonts w:hint="eastAsia" w:ascii="Times New Roman" w:hAnsi="Times New Roman" w:cs="Times New Roman"/>
          <w:color w:val="000000"/>
          <w:kern w:val="2"/>
          <w:sz w:val="24"/>
          <w:szCs w:val="24"/>
          <w:shd w:val="clear" w:color="auto" w:fill="FFFFFF"/>
          <w:lang w:eastAsia="zh-CN"/>
        </w:rPr>
        <w:t>）</w:t>
      </w:r>
    </w:p>
    <w:p w14:paraId="47D0FB89">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（2）根据材料二并结合所学知识，说明新中国成立以来气象事业发展的阶段特征。</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6分</w:t>
      </w:r>
      <w:r>
        <w:rPr>
          <w:rFonts w:hint="eastAsia" w:ascii="Times New Roman" w:hAnsi="Times New Roman" w:cs="Times New Roman"/>
          <w:color w:val="000000"/>
          <w:kern w:val="2"/>
          <w:sz w:val="24"/>
          <w:szCs w:val="24"/>
          <w:shd w:val="clear" w:color="auto" w:fill="FFFFFF"/>
          <w:lang w:eastAsia="zh-CN"/>
        </w:rPr>
        <w:t>）</w:t>
      </w:r>
    </w:p>
    <w:p w14:paraId="1F43FBB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w:t>
      </w:r>
      <w:r>
        <w:rPr>
          <w:rFonts w:hint="default" w:ascii="Times New Roman" w:hAnsi="Times New Roman" w:eastAsia="宋体" w:cs="Times New Roman"/>
          <w:color w:val="000000"/>
          <w:kern w:val="2"/>
          <w:sz w:val="24"/>
          <w:szCs w:val="24"/>
          <w:shd w:val="clear" w:color="auto" w:fill="FFFFFF"/>
          <w:lang w:eastAsia="zh-CN"/>
        </w:rPr>
        <w:t>4.阅读材料，完成下列要求。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12分</w:t>
      </w:r>
      <w:r>
        <w:rPr>
          <w:rFonts w:hint="eastAsia" w:ascii="Times New Roman" w:hAnsi="Times New Roman" w:cs="Times New Roman"/>
          <w:color w:val="000000"/>
          <w:kern w:val="2"/>
          <w:sz w:val="24"/>
          <w:szCs w:val="24"/>
          <w:shd w:val="clear" w:color="auto" w:fill="FFFFFF"/>
          <w:lang w:eastAsia="zh-CN"/>
        </w:rPr>
        <w:t>）</w:t>
      </w:r>
    </w:p>
    <w:p w14:paraId="44BFA71B">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b/>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9"/>
        <w:gridCol w:w="7092"/>
      </w:tblGrid>
      <w:tr w14:paraId="2763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03877313">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时期</w:t>
            </w:r>
          </w:p>
        </w:tc>
        <w:tc>
          <w:tcPr>
            <w:tcW w:w="3435" w:type="pct"/>
            <w:noWrap w:val="0"/>
            <w:vAlign w:val="center"/>
          </w:tcPr>
          <w:p w14:paraId="4F5175DC">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乡风文明建设内容（部分）</w:t>
            </w:r>
          </w:p>
        </w:tc>
      </w:tr>
      <w:tr w14:paraId="650C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518E27A0">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新民主主义革命时期</w:t>
            </w:r>
          </w:p>
        </w:tc>
        <w:tc>
          <w:tcPr>
            <w:tcW w:w="3435" w:type="pct"/>
            <w:noWrap w:val="0"/>
            <w:vAlign w:val="center"/>
          </w:tcPr>
          <w:p w14:paraId="6054722B">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倡导男女平等，反对封建婚姻制度</w:t>
            </w:r>
          </w:p>
          <w:p w14:paraId="26DB5E26">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破除封建迷信，改造农村巫神</w:t>
            </w:r>
          </w:p>
          <w:p w14:paraId="339809DA">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开展不缠足运动</w:t>
            </w:r>
          </w:p>
          <w:p w14:paraId="2AA76A5F">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移易传统婚丧习俗</w:t>
            </w:r>
          </w:p>
        </w:tc>
      </w:tr>
      <w:tr w14:paraId="1CA5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49C4C002">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社会主义革命和建设时期</w:t>
            </w:r>
          </w:p>
        </w:tc>
        <w:tc>
          <w:tcPr>
            <w:tcW w:w="3435" w:type="pct"/>
            <w:noWrap w:val="0"/>
            <w:vAlign w:val="center"/>
          </w:tcPr>
          <w:p w14:paraId="51935671">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打击农村封建迷信活动</w:t>
            </w:r>
          </w:p>
          <w:p w14:paraId="4C762766">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开展贯彻《婚姻法》运动</w:t>
            </w:r>
          </w:p>
          <w:p w14:paraId="5C53B2E7">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开展“五好家庭”评选活动</w:t>
            </w:r>
          </w:p>
          <w:p w14:paraId="3E1F2224">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倡导农村封建丧葬礼俗的改革，推行丧事简办</w:t>
            </w:r>
          </w:p>
        </w:tc>
      </w:tr>
      <w:tr w14:paraId="522E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pct"/>
            <w:noWrap w:val="0"/>
            <w:vAlign w:val="center"/>
          </w:tcPr>
          <w:p w14:paraId="0765AD05">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改革开放以来</w:t>
            </w:r>
          </w:p>
        </w:tc>
        <w:tc>
          <w:tcPr>
            <w:tcW w:w="3435" w:type="pct"/>
            <w:noWrap w:val="0"/>
            <w:vAlign w:val="center"/>
          </w:tcPr>
          <w:p w14:paraId="5042994E">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开展“五讲四美三热爱”活动</w:t>
            </w:r>
          </w:p>
          <w:p w14:paraId="2E1E9CC0">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开展五好文明家庭创建活动</w:t>
            </w:r>
          </w:p>
          <w:p w14:paraId="3B29DEE5">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开展文明/和谐村镇创建活动</w:t>
            </w:r>
          </w:p>
          <w:p w14:paraId="24FBAA50">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开展“讲文明树新风”活动</w:t>
            </w:r>
          </w:p>
          <w:p w14:paraId="552286E8">
            <w:pPr>
              <w:widowControl w:val="0"/>
              <w:tabs>
                <w:tab w:val="left" w:pos="2075"/>
                <w:tab w:val="left" w:pos="4156"/>
                <w:tab w:val="left" w:pos="6231"/>
              </w:tabs>
              <w:spacing w:line="360" w:lineRule="auto"/>
              <w:jc w:val="center"/>
              <w:rPr>
                <w:rFonts w:hint="eastAsia" w:ascii="楷体" w:hAnsi="楷体" w:eastAsia="楷体" w:cs="楷体"/>
                <w:color w:val="000000"/>
                <w:sz w:val="24"/>
                <w:szCs w:val="24"/>
                <w:shd w:val="clear" w:color="auto" w:fill="FFFFFF"/>
                <w:lang w:eastAsia="zh-CN"/>
              </w:rPr>
            </w:pPr>
            <w:r>
              <w:rPr>
                <w:rFonts w:hint="eastAsia" w:ascii="楷体" w:hAnsi="楷体" w:eastAsia="楷体" w:cs="楷体"/>
                <w:color w:val="000000"/>
                <w:sz w:val="24"/>
                <w:szCs w:val="24"/>
                <w:shd w:val="clear" w:color="auto" w:fill="FFFFFF"/>
                <w:lang w:eastAsia="zh-CN"/>
              </w:rPr>
              <w:t>开展农村优秀传统文化传承工作</w:t>
            </w:r>
          </w:p>
        </w:tc>
      </w:tr>
    </w:tbl>
    <w:p w14:paraId="58ABC868">
      <w:pPr>
        <w:widowControl w:val="0"/>
        <w:tabs>
          <w:tab w:val="left" w:pos="2075"/>
          <w:tab w:val="left" w:pos="4156"/>
          <w:tab w:val="left" w:pos="6231"/>
        </w:tabs>
        <w:spacing w:line="360" w:lineRule="auto"/>
        <w:ind w:firstLine="480" w:firstLineChars="200"/>
        <w:jc w:val="right"/>
        <w:rPr>
          <w:rFonts w:hint="default" w:ascii="Times New Roman" w:hAnsi="Times New Roman" w:eastAsia="楷体" w:cs="Times New Roman"/>
          <w:color w:val="000000"/>
          <w:kern w:val="2"/>
          <w:sz w:val="24"/>
          <w:szCs w:val="24"/>
          <w:shd w:val="clear" w:color="auto" w:fill="FFFFFF"/>
          <w:lang w:eastAsia="zh-CN"/>
        </w:rPr>
      </w:pPr>
      <w:r>
        <w:rPr>
          <w:rFonts w:hint="eastAsia" w:ascii="Times New Roman" w:hAnsi="Times New Roman" w:eastAsia="楷体" w:cs="Times New Roman"/>
          <w:color w:val="000000"/>
          <w:kern w:val="2"/>
          <w:sz w:val="24"/>
          <w:szCs w:val="24"/>
          <w:shd w:val="clear" w:color="auto" w:fill="FFFFFF"/>
          <w:lang w:eastAsia="zh-CN"/>
        </w:rPr>
        <w:t>——</w:t>
      </w:r>
      <w:r>
        <w:rPr>
          <w:rFonts w:hint="default" w:ascii="Times New Roman" w:hAnsi="Times New Roman" w:eastAsia="楷体" w:cs="Times New Roman"/>
          <w:color w:val="000000"/>
          <w:kern w:val="2"/>
          <w:sz w:val="24"/>
          <w:szCs w:val="24"/>
          <w:shd w:val="clear" w:color="auto" w:fill="FFFFFF"/>
          <w:lang w:eastAsia="zh-CN"/>
        </w:rPr>
        <w:t>摘编自刘欢、韩广富《中国共产党推进乡风文明建设的百年历程、经验与展望》</w:t>
      </w:r>
    </w:p>
    <w:p w14:paraId="38BD73C5">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乡风文明建设同中国共产党的政权建设与发展相伴而行。提取材料中的信息并结合所学知识，写一篇历史短文。（要求：自拟题目，史论结合，逻辑严谨，表述成文）</w:t>
      </w:r>
    </w:p>
    <w:p w14:paraId="0B258098">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eastAsia" w:ascii="Times New Roman" w:hAnsi="Times New Roman" w:cs="Times New Roman"/>
          <w:color w:val="000000"/>
          <w:kern w:val="2"/>
          <w:sz w:val="24"/>
          <w:szCs w:val="24"/>
          <w:shd w:val="clear" w:color="auto" w:fill="FFFFFF"/>
          <w:lang w:val="en-US" w:eastAsia="zh-CN"/>
        </w:rPr>
        <w:t>2</w:t>
      </w:r>
      <w:r>
        <w:rPr>
          <w:rFonts w:hint="default" w:ascii="Times New Roman" w:hAnsi="Times New Roman" w:eastAsia="宋体" w:cs="Times New Roman"/>
          <w:color w:val="000000"/>
          <w:kern w:val="2"/>
          <w:sz w:val="24"/>
          <w:szCs w:val="24"/>
          <w:shd w:val="clear" w:color="auto" w:fill="FFFFFF"/>
          <w:lang w:eastAsia="zh-CN"/>
        </w:rPr>
        <w:t>5.阅读材料，完成下列要求。</w:t>
      </w:r>
      <w:r>
        <w:rPr>
          <w:rFonts w:hint="eastAsia" w:ascii="Times New Roman" w:hAnsi="Times New Roman" w:cs="Times New Roman"/>
          <w:color w:val="000000"/>
          <w:kern w:val="2"/>
          <w:sz w:val="24"/>
          <w:szCs w:val="24"/>
          <w:shd w:val="clear" w:color="auto" w:fill="FFFFFF"/>
          <w:lang w:eastAsia="zh-CN"/>
        </w:rPr>
        <w:t>（</w:t>
      </w:r>
      <w:r>
        <w:rPr>
          <w:rFonts w:hint="eastAsia" w:ascii="Times New Roman" w:hAnsi="Times New Roman" w:cs="Times New Roman"/>
          <w:color w:val="000000"/>
          <w:kern w:val="2"/>
          <w:sz w:val="24"/>
          <w:szCs w:val="24"/>
          <w:shd w:val="clear" w:color="auto" w:fill="FFFFFF"/>
          <w:lang w:val="en-US" w:eastAsia="zh-CN"/>
        </w:rPr>
        <w:t>8分</w:t>
      </w:r>
      <w:r>
        <w:rPr>
          <w:rFonts w:hint="eastAsia" w:ascii="Times New Roman" w:hAnsi="Times New Roman" w:cs="Times New Roman"/>
          <w:color w:val="000000"/>
          <w:kern w:val="2"/>
          <w:sz w:val="24"/>
          <w:szCs w:val="24"/>
          <w:shd w:val="clear" w:color="auto" w:fill="FFFFFF"/>
          <w:lang w:eastAsia="zh-CN"/>
        </w:rPr>
        <w:t>）</w:t>
      </w:r>
    </w:p>
    <w:p w14:paraId="6010B360">
      <w:pPr>
        <w:widowControl w:val="0"/>
        <w:tabs>
          <w:tab w:val="left" w:pos="2075"/>
          <w:tab w:val="left" w:pos="4156"/>
          <w:tab w:val="left" w:pos="6231"/>
        </w:tabs>
        <w:spacing w:line="360" w:lineRule="auto"/>
        <w:ind w:firstLine="482" w:firstLineChars="200"/>
        <w:rPr>
          <w:rFonts w:hint="default" w:ascii="Times New Roman" w:hAnsi="Times New Roman" w:eastAsia="楷体" w:cs="Times New Roman"/>
          <w:color w:val="000000"/>
          <w:kern w:val="2"/>
          <w:sz w:val="24"/>
          <w:szCs w:val="24"/>
          <w:shd w:val="clear" w:color="auto" w:fill="FFFFFF"/>
          <w:lang w:eastAsia="zh-CN"/>
        </w:rPr>
      </w:pPr>
      <w:r>
        <w:rPr>
          <w:rFonts w:hint="default" w:ascii="Times New Roman" w:hAnsi="Times New Roman" w:eastAsia="楷体" w:cs="Times New Roman"/>
          <w:b/>
          <w:color w:val="000000"/>
          <w:kern w:val="2"/>
          <w:sz w:val="24"/>
          <w:szCs w:val="24"/>
          <w:shd w:val="clear" w:color="auto" w:fill="FFFFFF"/>
          <w:lang w:eastAsia="zh-CN"/>
        </w:rPr>
        <w:t>材料</w:t>
      </w:r>
      <w:r>
        <w:rPr>
          <w:rFonts w:hint="eastAsia" w:ascii="Times New Roman" w:hAnsi="Times New Roman" w:eastAsia="楷体" w:cs="Times New Roman"/>
          <w:color w:val="000000"/>
          <w:kern w:val="2"/>
          <w:sz w:val="24"/>
          <w:szCs w:val="24"/>
          <w:shd w:val="clear" w:color="auto" w:fill="FFFFFF"/>
          <w:lang w:val="en-US" w:eastAsia="zh-CN"/>
        </w:rPr>
        <w:t xml:space="preserve">  </w:t>
      </w:r>
      <w:r>
        <w:rPr>
          <w:rFonts w:hint="default" w:ascii="Times New Roman" w:hAnsi="Times New Roman" w:eastAsia="楷体" w:cs="Times New Roman"/>
          <w:color w:val="000000"/>
          <w:kern w:val="2"/>
          <w:sz w:val="24"/>
          <w:szCs w:val="24"/>
          <w:shd w:val="clear" w:color="auto" w:fill="FFFFFF"/>
          <w:lang w:eastAsia="zh-CN"/>
        </w:rPr>
        <w:t>编年体是以年代为线索编排有关历史事件的史书体例，它以时间为经，以史事为纬，比较容易反映出同一时期各个历史事件的联系。近代以来，很多学者以某一历史时间为切片，形成了对这一年的历史特征的总结性思考。下图是某历史著作目录节选，从著作名称和目录可以看到作者对这一历史年代和时代的思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tblGrid>
      <w:tr w14:paraId="673F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6" w:type="dxa"/>
            <w:noWrap w:val="0"/>
            <w:vAlign w:val="center"/>
          </w:tcPr>
          <w:p w14:paraId="516785F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《1968：撞击世界之年》</w:t>
            </w:r>
          </w:p>
          <w:p w14:paraId="395B7843">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导言  震撼世界之年</w:t>
            </w:r>
          </w:p>
          <w:p w14:paraId="6188CA35">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第一部  我们怨愤的严冬</w:t>
            </w:r>
          </w:p>
          <w:p w14:paraId="52A26D34">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第二部  布拉格之春</w:t>
            </w:r>
          </w:p>
          <w:p w14:paraId="2D7E08CC">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第三部  夏季奥运会</w:t>
            </w:r>
          </w:p>
          <w:p w14:paraId="5141CDED">
            <w:pPr>
              <w:widowControl w:val="0"/>
              <w:tabs>
                <w:tab w:val="left" w:pos="2075"/>
                <w:tab w:val="left" w:pos="4156"/>
                <w:tab w:val="left" w:pos="6231"/>
              </w:tabs>
              <w:spacing w:line="360" w:lineRule="auto"/>
              <w:jc w:val="center"/>
              <w:rPr>
                <w:rFonts w:hint="default" w:ascii="Times New Roman" w:hAnsi="Times New Roman" w:eastAsia="楷体" w:cs="Times New Roman"/>
                <w:color w:val="000000"/>
                <w:sz w:val="24"/>
                <w:szCs w:val="24"/>
                <w:shd w:val="clear" w:color="auto" w:fill="FFFFFF"/>
                <w:lang w:eastAsia="zh-CN"/>
              </w:rPr>
            </w:pPr>
            <w:r>
              <w:rPr>
                <w:rFonts w:hint="default" w:ascii="Times New Roman" w:hAnsi="Times New Roman" w:eastAsia="楷体" w:cs="Times New Roman"/>
                <w:color w:val="000000"/>
                <w:sz w:val="24"/>
                <w:szCs w:val="24"/>
                <w:shd w:val="clear" w:color="auto" w:fill="FFFFFF"/>
                <w:lang w:eastAsia="zh-CN"/>
              </w:rPr>
              <w:t>第四部  尼克松的秋天</w:t>
            </w:r>
          </w:p>
        </w:tc>
      </w:tr>
    </w:tbl>
    <w:p w14:paraId="06619161">
      <w:pPr>
        <w:widowControl w:val="0"/>
        <w:tabs>
          <w:tab w:val="left" w:pos="2075"/>
          <w:tab w:val="left" w:pos="4156"/>
          <w:tab w:val="left" w:pos="6231"/>
        </w:tabs>
        <w:spacing w:line="360" w:lineRule="auto"/>
        <w:jc w:val="right"/>
        <w:rPr>
          <w:rFonts w:hint="default" w:ascii="Times New Roman" w:hAnsi="Times New Roman" w:eastAsia="楷体" w:cs="Times New Roman"/>
          <w:color w:val="000000"/>
          <w:kern w:val="2"/>
          <w:sz w:val="24"/>
          <w:szCs w:val="24"/>
          <w:shd w:val="clear" w:color="auto" w:fill="FFFFFF"/>
          <w:lang w:eastAsia="zh-CN"/>
        </w:rPr>
      </w:pPr>
      <w:r>
        <w:rPr>
          <w:rFonts w:hint="eastAsia" w:ascii="Times New Roman" w:hAnsi="Times New Roman" w:eastAsia="楷体" w:cs="Times New Roman"/>
          <w:color w:val="000000"/>
          <w:kern w:val="2"/>
          <w:sz w:val="24"/>
          <w:szCs w:val="24"/>
          <w:shd w:val="clear" w:color="auto" w:fill="FFFFFF"/>
          <w:lang w:eastAsia="zh-CN"/>
        </w:rPr>
        <w:t>——</w:t>
      </w:r>
      <w:r>
        <w:rPr>
          <w:rFonts w:hint="default" w:ascii="Times New Roman" w:hAnsi="Times New Roman" w:eastAsia="楷体" w:cs="Times New Roman"/>
          <w:color w:val="000000"/>
          <w:kern w:val="2"/>
          <w:sz w:val="24"/>
          <w:szCs w:val="24"/>
          <w:shd w:val="clear" w:color="auto" w:fill="FFFFFF"/>
          <w:lang w:eastAsia="zh-CN"/>
        </w:rPr>
        <w:t>摘编自【美】马克</w:t>
      </w:r>
      <w:r>
        <w:rPr>
          <w:rFonts w:hint="eastAsia" w:ascii="Times New Roman" w:hAnsi="Times New Roman" w:eastAsia="楷体" w:cs="Times New Roman"/>
          <w:color w:val="000000"/>
          <w:kern w:val="2"/>
          <w:sz w:val="24"/>
          <w:szCs w:val="24"/>
          <w:shd w:val="clear" w:color="auto" w:fill="FFFFFF"/>
          <w:lang w:val="en-US" w:eastAsia="zh-CN"/>
        </w:rPr>
        <w:t>·</w:t>
      </w:r>
      <w:r>
        <w:rPr>
          <w:rFonts w:hint="default" w:ascii="Times New Roman" w:hAnsi="Times New Roman" w:eastAsia="楷体" w:cs="Times New Roman"/>
          <w:color w:val="000000"/>
          <w:kern w:val="2"/>
          <w:sz w:val="24"/>
          <w:szCs w:val="24"/>
          <w:shd w:val="clear" w:color="auto" w:fill="FFFFFF"/>
          <w:lang w:eastAsia="zh-CN"/>
        </w:rPr>
        <w:t>科兰斯基《1968：撞击世界之年》等</w:t>
      </w:r>
    </w:p>
    <w:p w14:paraId="6077729B">
      <w:pPr>
        <w:widowControl w:val="0"/>
        <w:tabs>
          <w:tab w:val="left" w:pos="2075"/>
          <w:tab w:val="left" w:pos="4156"/>
          <w:tab w:val="left" w:pos="6231"/>
        </w:tabs>
        <w:spacing w:line="360" w:lineRule="auto"/>
        <w:rPr>
          <w:rFonts w:hint="default" w:ascii="Times New Roman" w:hAnsi="Times New Roman" w:eastAsia="宋体" w:cs="Times New Roman"/>
          <w:color w:val="000000"/>
          <w:kern w:val="2"/>
          <w:sz w:val="24"/>
          <w:szCs w:val="24"/>
          <w:shd w:val="clear" w:color="auto" w:fill="FFFFFF"/>
          <w:lang w:eastAsia="zh-CN"/>
        </w:rPr>
      </w:pPr>
      <w:r>
        <w:rPr>
          <w:rFonts w:hint="default" w:ascii="Times New Roman" w:hAnsi="Times New Roman" w:eastAsia="宋体" w:cs="Times New Roman"/>
          <w:color w:val="000000"/>
          <w:kern w:val="2"/>
          <w:sz w:val="24"/>
          <w:szCs w:val="24"/>
          <w:shd w:val="clear" w:color="auto" w:fill="FFFFFF"/>
          <w:lang w:eastAsia="zh-CN"/>
        </w:rPr>
        <w:t>请参照上述著作名称和目录，选取20世纪的某一年为切片，拟写一部世界史著作名称，列出简要目录。（要求：所选年代为示例以外的年代，</w:t>
      </w:r>
      <w:r>
        <w:rPr>
          <w:rFonts w:hint="eastAsia" w:ascii="Times New Roman" w:hAnsi="Times New Roman" w:cs="Times New Roman"/>
          <w:color w:val="000000"/>
          <w:kern w:val="2"/>
          <w:sz w:val="24"/>
          <w:szCs w:val="24"/>
          <w:shd w:val="clear" w:color="auto" w:fill="FFFFFF"/>
          <w:lang w:val="en-US" w:eastAsia="zh-CN"/>
        </w:rPr>
        <w:t>时空逻辑清晰，包含四部分子目</w:t>
      </w:r>
      <w:r>
        <w:rPr>
          <w:rFonts w:hint="default" w:ascii="Times New Roman" w:hAnsi="Times New Roman" w:eastAsia="宋体" w:cs="Times New Roman"/>
          <w:color w:val="000000"/>
          <w:kern w:val="2"/>
          <w:sz w:val="24"/>
          <w:szCs w:val="24"/>
          <w:shd w:val="clear" w:color="auto" w:fill="FFFFFF"/>
          <w:lang w:eastAsia="zh-CN"/>
        </w:rPr>
        <w:t>）</w:t>
      </w:r>
    </w:p>
    <w:p w14:paraId="7AD9260A">
      <w:pPr>
        <w:tabs>
          <w:tab w:val="left" w:pos="2075"/>
          <w:tab w:val="left" w:pos="4156"/>
          <w:tab w:val="left" w:pos="6231"/>
        </w:tabs>
        <w:spacing w:line="360" w:lineRule="auto"/>
        <w:textAlignment w:val="center"/>
        <w:rPr>
          <w:rFonts w:hint="default" w:ascii="Times New Roman" w:hAnsi="Times New Roman" w:cs="Times New Roman"/>
          <w:color w:val="000000"/>
          <w:sz w:val="24"/>
          <w:szCs w:val="24"/>
        </w:rPr>
      </w:pPr>
    </w:p>
    <w:sectPr>
      <w:headerReference r:id="rId5" w:type="first"/>
      <w:headerReference r:id="rId3" w:type="default"/>
      <w:footerReference r:id="rId6" w:type="default"/>
      <w:headerReference r:id="rId4" w:type="even"/>
      <w:pgSz w:w="23814" w:h="16839" w:orient="landscape"/>
      <w:pgMar w:top="1021" w:right="1440" w:bottom="1021" w:left="1440" w:header="851" w:footer="992" w:gutter="0"/>
      <w:cols w:space="72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930D">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E03F">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1E4C">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11860530" cy="8386445"/>
          <wp:effectExtent l="0" t="0" r="0" b="0"/>
          <wp:wrapNone/>
          <wp:docPr id="2" name="WordPictureWatermark1131266360"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131266360" descr="水印"/>
                  <pic:cNvPicPr>
                    <a:picLocks noChangeAspect="1"/>
                  </pic:cNvPicPr>
                </pic:nvPicPr>
                <pic:blipFill>
                  <a:blip r:embed="rId1"/>
                  <a:stretch>
                    <a:fillRect/>
                  </a:stretch>
                </pic:blipFill>
                <pic:spPr>
                  <a:xfrm>
                    <a:off x="0" y="0"/>
                    <a:ext cx="11860530" cy="83864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90C9">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11860530" cy="8386445"/>
          <wp:effectExtent l="0" t="0" r="0" b="0"/>
          <wp:wrapNone/>
          <wp:docPr id="1" name="WordPictureWatermark1131266359"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131266359" descr="水印"/>
                  <pic:cNvPicPr>
                    <a:picLocks noChangeAspect="1"/>
                  </pic:cNvPicPr>
                </pic:nvPicPr>
                <pic:blipFill>
                  <a:blip r:embed="rId1"/>
                  <a:stretch>
                    <a:fillRect/>
                  </a:stretch>
                </pic:blipFill>
                <pic:spPr>
                  <a:xfrm>
                    <a:off x="0" y="0"/>
                    <a:ext cx="11860530" cy="83864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mM2QyNzFiYTNlOWU1NjFiYmVjNGNjNjQyZjM2MDEifQ=="/>
  </w:docVars>
  <w:rsids>
    <w:rsidRoot w:val="00390EEB"/>
    <w:rsid w:val="000006F6"/>
    <w:rsid w:val="0000408D"/>
    <w:rsid w:val="00014895"/>
    <w:rsid w:val="00014CAD"/>
    <w:rsid w:val="000162F3"/>
    <w:rsid w:val="000204D3"/>
    <w:rsid w:val="000212FC"/>
    <w:rsid w:val="00021BA7"/>
    <w:rsid w:val="00022786"/>
    <w:rsid w:val="0002448D"/>
    <w:rsid w:val="000259E3"/>
    <w:rsid w:val="000304F6"/>
    <w:rsid w:val="00030FC5"/>
    <w:rsid w:val="00035344"/>
    <w:rsid w:val="00050166"/>
    <w:rsid w:val="00050E8F"/>
    <w:rsid w:val="00050FD7"/>
    <w:rsid w:val="00052BA8"/>
    <w:rsid w:val="000554E3"/>
    <w:rsid w:val="00061F7A"/>
    <w:rsid w:val="00065D99"/>
    <w:rsid w:val="00071EA4"/>
    <w:rsid w:val="00073A40"/>
    <w:rsid w:val="00073A4B"/>
    <w:rsid w:val="00075482"/>
    <w:rsid w:val="00077551"/>
    <w:rsid w:val="00077B02"/>
    <w:rsid w:val="0008035F"/>
    <w:rsid w:val="00080751"/>
    <w:rsid w:val="00080869"/>
    <w:rsid w:val="0008316F"/>
    <w:rsid w:val="000875C8"/>
    <w:rsid w:val="00090C08"/>
    <w:rsid w:val="000917D8"/>
    <w:rsid w:val="00091F47"/>
    <w:rsid w:val="000974B8"/>
    <w:rsid w:val="000B344D"/>
    <w:rsid w:val="000B4C52"/>
    <w:rsid w:val="000C3E86"/>
    <w:rsid w:val="000C41E8"/>
    <w:rsid w:val="000C50F0"/>
    <w:rsid w:val="000C7E7B"/>
    <w:rsid w:val="000D2289"/>
    <w:rsid w:val="000D4382"/>
    <w:rsid w:val="000D4663"/>
    <w:rsid w:val="000E0E45"/>
    <w:rsid w:val="000E5C8E"/>
    <w:rsid w:val="000E70DA"/>
    <w:rsid w:val="000F08D0"/>
    <w:rsid w:val="000F1667"/>
    <w:rsid w:val="000F3DFB"/>
    <w:rsid w:val="000F71E4"/>
    <w:rsid w:val="00115D41"/>
    <w:rsid w:val="00116102"/>
    <w:rsid w:val="001201C9"/>
    <w:rsid w:val="00121EC6"/>
    <w:rsid w:val="00124DAB"/>
    <w:rsid w:val="001251D0"/>
    <w:rsid w:val="0013010E"/>
    <w:rsid w:val="00131333"/>
    <w:rsid w:val="00133708"/>
    <w:rsid w:val="0013580C"/>
    <w:rsid w:val="00135DD1"/>
    <w:rsid w:val="00137CA7"/>
    <w:rsid w:val="00140B0D"/>
    <w:rsid w:val="001411D7"/>
    <w:rsid w:val="0014483F"/>
    <w:rsid w:val="00147B96"/>
    <w:rsid w:val="0015010D"/>
    <w:rsid w:val="00150F9F"/>
    <w:rsid w:val="0015756C"/>
    <w:rsid w:val="00161B43"/>
    <w:rsid w:val="00163837"/>
    <w:rsid w:val="00164A9B"/>
    <w:rsid w:val="001732E5"/>
    <w:rsid w:val="00180552"/>
    <w:rsid w:val="00193FC5"/>
    <w:rsid w:val="00194CE3"/>
    <w:rsid w:val="001A0194"/>
    <w:rsid w:val="001A4C59"/>
    <w:rsid w:val="001B2139"/>
    <w:rsid w:val="001B3B76"/>
    <w:rsid w:val="001B5B49"/>
    <w:rsid w:val="001B6D32"/>
    <w:rsid w:val="001B6D36"/>
    <w:rsid w:val="001B71E0"/>
    <w:rsid w:val="001C4B50"/>
    <w:rsid w:val="001C6EC6"/>
    <w:rsid w:val="001C73B6"/>
    <w:rsid w:val="001C7A00"/>
    <w:rsid w:val="001D3BAB"/>
    <w:rsid w:val="001D4CA1"/>
    <w:rsid w:val="001E115C"/>
    <w:rsid w:val="001F3E4C"/>
    <w:rsid w:val="001F5958"/>
    <w:rsid w:val="0020007C"/>
    <w:rsid w:val="0020491C"/>
    <w:rsid w:val="00204993"/>
    <w:rsid w:val="002064AF"/>
    <w:rsid w:val="00207F59"/>
    <w:rsid w:val="002128A3"/>
    <w:rsid w:val="002137E7"/>
    <w:rsid w:val="0021705D"/>
    <w:rsid w:val="00220059"/>
    <w:rsid w:val="0022658C"/>
    <w:rsid w:val="00234825"/>
    <w:rsid w:val="0023487E"/>
    <w:rsid w:val="002371AA"/>
    <w:rsid w:val="0023765A"/>
    <w:rsid w:val="002408BE"/>
    <w:rsid w:val="00243E02"/>
    <w:rsid w:val="00253F6C"/>
    <w:rsid w:val="00255C47"/>
    <w:rsid w:val="00261710"/>
    <w:rsid w:val="00265CD3"/>
    <w:rsid w:val="00273B62"/>
    <w:rsid w:val="002820C3"/>
    <w:rsid w:val="002821C0"/>
    <w:rsid w:val="002868B7"/>
    <w:rsid w:val="0029108A"/>
    <w:rsid w:val="0029700C"/>
    <w:rsid w:val="002A00AB"/>
    <w:rsid w:val="002A030D"/>
    <w:rsid w:val="002A2A06"/>
    <w:rsid w:val="002A5AEB"/>
    <w:rsid w:val="002A5F44"/>
    <w:rsid w:val="002A76CD"/>
    <w:rsid w:val="002B2192"/>
    <w:rsid w:val="002B27FE"/>
    <w:rsid w:val="002B3547"/>
    <w:rsid w:val="002B38F0"/>
    <w:rsid w:val="002B7A9B"/>
    <w:rsid w:val="002C1302"/>
    <w:rsid w:val="002C33F0"/>
    <w:rsid w:val="002C44C3"/>
    <w:rsid w:val="002C7F33"/>
    <w:rsid w:val="002D229E"/>
    <w:rsid w:val="002D628A"/>
    <w:rsid w:val="002E4DA9"/>
    <w:rsid w:val="002E4FD1"/>
    <w:rsid w:val="002E58E3"/>
    <w:rsid w:val="002E7139"/>
    <w:rsid w:val="00300FA9"/>
    <w:rsid w:val="003048F4"/>
    <w:rsid w:val="00306734"/>
    <w:rsid w:val="003119B6"/>
    <w:rsid w:val="0031496A"/>
    <w:rsid w:val="0031776C"/>
    <w:rsid w:val="00320632"/>
    <w:rsid w:val="00322857"/>
    <w:rsid w:val="003243C8"/>
    <w:rsid w:val="0032510B"/>
    <w:rsid w:val="00326FA5"/>
    <w:rsid w:val="0032747E"/>
    <w:rsid w:val="00333348"/>
    <w:rsid w:val="00340EC4"/>
    <w:rsid w:val="0034485C"/>
    <w:rsid w:val="003469CC"/>
    <w:rsid w:val="0035093C"/>
    <w:rsid w:val="00355056"/>
    <w:rsid w:val="00362154"/>
    <w:rsid w:val="0036513F"/>
    <w:rsid w:val="0036516C"/>
    <w:rsid w:val="00365D37"/>
    <w:rsid w:val="00365FA8"/>
    <w:rsid w:val="00366133"/>
    <w:rsid w:val="0037093A"/>
    <w:rsid w:val="00371B15"/>
    <w:rsid w:val="00372152"/>
    <w:rsid w:val="00375430"/>
    <w:rsid w:val="00376B7E"/>
    <w:rsid w:val="003810FA"/>
    <w:rsid w:val="00390EEB"/>
    <w:rsid w:val="00391002"/>
    <w:rsid w:val="00396397"/>
    <w:rsid w:val="003A0954"/>
    <w:rsid w:val="003A1008"/>
    <w:rsid w:val="003A2AD2"/>
    <w:rsid w:val="003A2DEE"/>
    <w:rsid w:val="003A37E3"/>
    <w:rsid w:val="003B0A93"/>
    <w:rsid w:val="003B323D"/>
    <w:rsid w:val="003B47C1"/>
    <w:rsid w:val="003C02B0"/>
    <w:rsid w:val="003C5BB7"/>
    <w:rsid w:val="003C7A9C"/>
    <w:rsid w:val="003D0DCB"/>
    <w:rsid w:val="003D7FE1"/>
    <w:rsid w:val="003E16EC"/>
    <w:rsid w:val="003E248D"/>
    <w:rsid w:val="003E669C"/>
    <w:rsid w:val="003E6FF3"/>
    <w:rsid w:val="003F007C"/>
    <w:rsid w:val="003F0BA2"/>
    <w:rsid w:val="003F38F1"/>
    <w:rsid w:val="003F5504"/>
    <w:rsid w:val="00400EE8"/>
    <w:rsid w:val="0040210E"/>
    <w:rsid w:val="004067B4"/>
    <w:rsid w:val="00407E29"/>
    <w:rsid w:val="004109D8"/>
    <w:rsid w:val="00410A23"/>
    <w:rsid w:val="0041176F"/>
    <w:rsid w:val="00412346"/>
    <w:rsid w:val="0041489B"/>
    <w:rsid w:val="004151FC"/>
    <w:rsid w:val="00415F7E"/>
    <w:rsid w:val="00421EFB"/>
    <w:rsid w:val="00426BED"/>
    <w:rsid w:val="00430EB4"/>
    <w:rsid w:val="0043157D"/>
    <w:rsid w:val="0043247E"/>
    <w:rsid w:val="0043559C"/>
    <w:rsid w:val="004360DB"/>
    <w:rsid w:val="00443B15"/>
    <w:rsid w:val="004500B9"/>
    <w:rsid w:val="00451215"/>
    <w:rsid w:val="00454A74"/>
    <w:rsid w:val="004559C9"/>
    <w:rsid w:val="00455A86"/>
    <w:rsid w:val="004625BF"/>
    <w:rsid w:val="00471DD6"/>
    <w:rsid w:val="00474CEC"/>
    <w:rsid w:val="004869B4"/>
    <w:rsid w:val="00492818"/>
    <w:rsid w:val="00492E0F"/>
    <w:rsid w:val="00493451"/>
    <w:rsid w:val="004948FB"/>
    <w:rsid w:val="004A286A"/>
    <w:rsid w:val="004A310A"/>
    <w:rsid w:val="004A36BA"/>
    <w:rsid w:val="004A380C"/>
    <w:rsid w:val="004A4CA8"/>
    <w:rsid w:val="004A5173"/>
    <w:rsid w:val="004A653F"/>
    <w:rsid w:val="004B1172"/>
    <w:rsid w:val="004C035C"/>
    <w:rsid w:val="004C2713"/>
    <w:rsid w:val="004C45AB"/>
    <w:rsid w:val="004C525B"/>
    <w:rsid w:val="004C6788"/>
    <w:rsid w:val="004D0F47"/>
    <w:rsid w:val="004D1DC9"/>
    <w:rsid w:val="004D25EB"/>
    <w:rsid w:val="004D41DE"/>
    <w:rsid w:val="004D5B3E"/>
    <w:rsid w:val="004E06DD"/>
    <w:rsid w:val="004E64D9"/>
    <w:rsid w:val="004E6DA1"/>
    <w:rsid w:val="004F00B0"/>
    <w:rsid w:val="004F0A71"/>
    <w:rsid w:val="004F2B2F"/>
    <w:rsid w:val="004F76FA"/>
    <w:rsid w:val="00503A69"/>
    <w:rsid w:val="00506E2B"/>
    <w:rsid w:val="00510F8B"/>
    <w:rsid w:val="005136AF"/>
    <w:rsid w:val="00513CBB"/>
    <w:rsid w:val="0052455C"/>
    <w:rsid w:val="00531136"/>
    <w:rsid w:val="005311CB"/>
    <w:rsid w:val="005346D3"/>
    <w:rsid w:val="00540894"/>
    <w:rsid w:val="00542E55"/>
    <w:rsid w:val="0055545C"/>
    <w:rsid w:val="00560D55"/>
    <w:rsid w:val="00564E17"/>
    <w:rsid w:val="005745FA"/>
    <w:rsid w:val="005800DE"/>
    <w:rsid w:val="0058295D"/>
    <w:rsid w:val="00582C38"/>
    <w:rsid w:val="005912CB"/>
    <w:rsid w:val="005913B7"/>
    <w:rsid w:val="0059474E"/>
    <w:rsid w:val="005972A5"/>
    <w:rsid w:val="005A382F"/>
    <w:rsid w:val="005A5CFE"/>
    <w:rsid w:val="005B151E"/>
    <w:rsid w:val="005B5C2F"/>
    <w:rsid w:val="005B766D"/>
    <w:rsid w:val="005D0934"/>
    <w:rsid w:val="005E14C6"/>
    <w:rsid w:val="005E1C93"/>
    <w:rsid w:val="005E4CDA"/>
    <w:rsid w:val="005E4ED2"/>
    <w:rsid w:val="005E7628"/>
    <w:rsid w:val="005E78B1"/>
    <w:rsid w:val="005F55EA"/>
    <w:rsid w:val="005F6B19"/>
    <w:rsid w:val="006069DB"/>
    <w:rsid w:val="00606A17"/>
    <w:rsid w:val="006104F9"/>
    <w:rsid w:val="0061409A"/>
    <w:rsid w:val="006202D5"/>
    <w:rsid w:val="006207D7"/>
    <w:rsid w:val="006337B8"/>
    <w:rsid w:val="0063428C"/>
    <w:rsid w:val="006350AF"/>
    <w:rsid w:val="00635C6D"/>
    <w:rsid w:val="00636EA4"/>
    <w:rsid w:val="00640336"/>
    <w:rsid w:val="0064217B"/>
    <w:rsid w:val="0064435A"/>
    <w:rsid w:val="00646272"/>
    <w:rsid w:val="00646A2C"/>
    <w:rsid w:val="0065585E"/>
    <w:rsid w:val="0066058D"/>
    <w:rsid w:val="006617E9"/>
    <w:rsid w:val="00667158"/>
    <w:rsid w:val="00667C6C"/>
    <w:rsid w:val="006738F9"/>
    <w:rsid w:val="00674167"/>
    <w:rsid w:val="00676506"/>
    <w:rsid w:val="00676C88"/>
    <w:rsid w:val="00677823"/>
    <w:rsid w:val="00677843"/>
    <w:rsid w:val="006810EE"/>
    <w:rsid w:val="0068646A"/>
    <w:rsid w:val="00686834"/>
    <w:rsid w:val="00686EDB"/>
    <w:rsid w:val="00690545"/>
    <w:rsid w:val="00690C41"/>
    <w:rsid w:val="00693C7A"/>
    <w:rsid w:val="006A7BEC"/>
    <w:rsid w:val="006A7F11"/>
    <w:rsid w:val="006B4610"/>
    <w:rsid w:val="006C4842"/>
    <w:rsid w:val="006C4DBC"/>
    <w:rsid w:val="006D23D0"/>
    <w:rsid w:val="006D3110"/>
    <w:rsid w:val="006E397E"/>
    <w:rsid w:val="006E3DEF"/>
    <w:rsid w:val="006E65AF"/>
    <w:rsid w:val="006F0B77"/>
    <w:rsid w:val="006F1BDC"/>
    <w:rsid w:val="006F480D"/>
    <w:rsid w:val="006F5B22"/>
    <w:rsid w:val="00701520"/>
    <w:rsid w:val="00701CF0"/>
    <w:rsid w:val="00705355"/>
    <w:rsid w:val="00707697"/>
    <w:rsid w:val="007119C8"/>
    <w:rsid w:val="0071346A"/>
    <w:rsid w:val="007219ED"/>
    <w:rsid w:val="007278D0"/>
    <w:rsid w:val="007306DE"/>
    <w:rsid w:val="00740390"/>
    <w:rsid w:val="00742848"/>
    <w:rsid w:val="00745B10"/>
    <w:rsid w:val="007467F6"/>
    <w:rsid w:val="0074695A"/>
    <w:rsid w:val="00746EE0"/>
    <w:rsid w:val="00751A40"/>
    <w:rsid w:val="0075540B"/>
    <w:rsid w:val="007632FE"/>
    <w:rsid w:val="00763DD5"/>
    <w:rsid w:val="007702E3"/>
    <w:rsid w:val="00773A65"/>
    <w:rsid w:val="00775559"/>
    <w:rsid w:val="00775566"/>
    <w:rsid w:val="00777A53"/>
    <w:rsid w:val="007801FD"/>
    <w:rsid w:val="00780FF7"/>
    <w:rsid w:val="007876DD"/>
    <w:rsid w:val="00791694"/>
    <w:rsid w:val="00794A97"/>
    <w:rsid w:val="00794E62"/>
    <w:rsid w:val="007A415B"/>
    <w:rsid w:val="007A45E5"/>
    <w:rsid w:val="007A496B"/>
    <w:rsid w:val="007A610C"/>
    <w:rsid w:val="007A6446"/>
    <w:rsid w:val="007A781A"/>
    <w:rsid w:val="007B0793"/>
    <w:rsid w:val="007B27E3"/>
    <w:rsid w:val="007B6D49"/>
    <w:rsid w:val="007B75F3"/>
    <w:rsid w:val="007C2378"/>
    <w:rsid w:val="007C2728"/>
    <w:rsid w:val="007C3371"/>
    <w:rsid w:val="007C3D40"/>
    <w:rsid w:val="007C7D25"/>
    <w:rsid w:val="007D36A3"/>
    <w:rsid w:val="007D4AA2"/>
    <w:rsid w:val="007D507E"/>
    <w:rsid w:val="007D5DD6"/>
    <w:rsid w:val="007D73DA"/>
    <w:rsid w:val="007E1DC9"/>
    <w:rsid w:val="007F40C8"/>
    <w:rsid w:val="007F7466"/>
    <w:rsid w:val="0080080F"/>
    <w:rsid w:val="00804632"/>
    <w:rsid w:val="008078C8"/>
    <w:rsid w:val="008112C7"/>
    <w:rsid w:val="0081186D"/>
    <w:rsid w:val="008146A2"/>
    <w:rsid w:val="008178AE"/>
    <w:rsid w:val="00821ACE"/>
    <w:rsid w:val="008260B8"/>
    <w:rsid w:val="008350D2"/>
    <w:rsid w:val="008350FF"/>
    <w:rsid w:val="00835976"/>
    <w:rsid w:val="008363A6"/>
    <w:rsid w:val="008474C1"/>
    <w:rsid w:val="00847BA8"/>
    <w:rsid w:val="00851C1F"/>
    <w:rsid w:val="00852A24"/>
    <w:rsid w:val="00853588"/>
    <w:rsid w:val="0085702B"/>
    <w:rsid w:val="00857A24"/>
    <w:rsid w:val="00857C84"/>
    <w:rsid w:val="00861F57"/>
    <w:rsid w:val="00863E52"/>
    <w:rsid w:val="00866517"/>
    <w:rsid w:val="0087446A"/>
    <w:rsid w:val="008802E1"/>
    <w:rsid w:val="008805D6"/>
    <w:rsid w:val="0088282D"/>
    <w:rsid w:val="00883C70"/>
    <w:rsid w:val="00885854"/>
    <w:rsid w:val="00893440"/>
    <w:rsid w:val="008A02AC"/>
    <w:rsid w:val="008A0E54"/>
    <w:rsid w:val="008A1C13"/>
    <w:rsid w:val="008A4497"/>
    <w:rsid w:val="008A5291"/>
    <w:rsid w:val="008A5DBD"/>
    <w:rsid w:val="008A6518"/>
    <w:rsid w:val="008A6694"/>
    <w:rsid w:val="008B326C"/>
    <w:rsid w:val="008B4969"/>
    <w:rsid w:val="008B546E"/>
    <w:rsid w:val="008B5AA9"/>
    <w:rsid w:val="008B64B1"/>
    <w:rsid w:val="008C1310"/>
    <w:rsid w:val="008C1A2F"/>
    <w:rsid w:val="008C3879"/>
    <w:rsid w:val="008C5091"/>
    <w:rsid w:val="008D1C1D"/>
    <w:rsid w:val="008D5324"/>
    <w:rsid w:val="008D5D8D"/>
    <w:rsid w:val="008D6B55"/>
    <w:rsid w:val="008D7C05"/>
    <w:rsid w:val="008D7DFB"/>
    <w:rsid w:val="008E1A20"/>
    <w:rsid w:val="008E5B75"/>
    <w:rsid w:val="008E6203"/>
    <w:rsid w:val="008E7906"/>
    <w:rsid w:val="008F65B7"/>
    <w:rsid w:val="008F73FB"/>
    <w:rsid w:val="00903B50"/>
    <w:rsid w:val="00904D0C"/>
    <w:rsid w:val="00905D87"/>
    <w:rsid w:val="009073EE"/>
    <w:rsid w:val="009127E8"/>
    <w:rsid w:val="009167AB"/>
    <w:rsid w:val="00916B0D"/>
    <w:rsid w:val="00917669"/>
    <w:rsid w:val="0092018D"/>
    <w:rsid w:val="00924F83"/>
    <w:rsid w:val="009316AC"/>
    <w:rsid w:val="009414EB"/>
    <w:rsid w:val="00941E8C"/>
    <w:rsid w:val="0094392D"/>
    <w:rsid w:val="009445A6"/>
    <w:rsid w:val="00944D80"/>
    <w:rsid w:val="00950545"/>
    <w:rsid w:val="00952EC2"/>
    <w:rsid w:val="00956006"/>
    <w:rsid w:val="00965690"/>
    <w:rsid w:val="009707D5"/>
    <w:rsid w:val="0097238B"/>
    <w:rsid w:val="009727C4"/>
    <w:rsid w:val="009735A6"/>
    <w:rsid w:val="00974281"/>
    <w:rsid w:val="0097767F"/>
    <w:rsid w:val="0098056F"/>
    <w:rsid w:val="00980750"/>
    <w:rsid w:val="00983766"/>
    <w:rsid w:val="00983A32"/>
    <w:rsid w:val="009845B2"/>
    <w:rsid w:val="00984F53"/>
    <w:rsid w:val="00985301"/>
    <w:rsid w:val="00991BAD"/>
    <w:rsid w:val="00993984"/>
    <w:rsid w:val="00997239"/>
    <w:rsid w:val="009A1F5B"/>
    <w:rsid w:val="009A6DEE"/>
    <w:rsid w:val="009A787D"/>
    <w:rsid w:val="009B29C3"/>
    <w:rsid w:val="009B5C1F"/>
    <w:rsid w:val="009B624F"/>
    <w:rsid w:val="009C1F2D"/>
    <w:rsid w:val="009C3DF8"/>
    <w:rsid w:val="009C67E6"/>
    <w:rsid w:val="009C7051"/>
    <w:rsid w:val="009D275C"/>
    <w:rsid w:val="009D7528"/>
    <w:rsid w:val="009E33F9"/>
    <w:rsid w:val="009E547F"/>
    <w:rsid w:val="009E6D5E"/>
    <w:rsid w:val="009F05E0"/>
    <w:rsid w:val="009F2176"/>
    <w:rsid w:val="009F46BE"/>
    <w:rsid w:val="00A0289F"/>
    <w:rsid w:val="00A06014"/>
    <w:rsid w:val="00A064B1"/>
    <w:rsid w:val="00A076BA"/>
    <w:rsid w:val="00A11B3B"/>
    <w:rsid w:val="00A16D96"/>
    <w:rsid w:val="00A2172E"/>
    <w:rsid w:val="00A21DF3"/>
    <w:rsid w:val="00A31C3A"/>
    <w:rsid w:val="00A339E0"/>
    <w:rsid w:val="00A363A0"/>
    <w:rsid w:val="00A43CDA"/>
    <w:rsid w:val="00A45DE0"/>
    <w:rsid w:val="00A46356"/>
    <w:rsid w:val="00A46B91"/>
    <w:rsid w:val="00A51129"/>
    <w:rsid w:val="00A57E4E"/>
    <w:rsid w:val="00A646DD"/>
    <w:rsid w:val="00A66ACF"/>
    <w:rsid w:val="00A67362"/>
    <w:rsid w:val="00A722BB"/>
    <w:rsid w:val="00A73D86"/>
    <w:rsid w:val="00A75FEB"/>
    <w:rsid w:val="00A83ED2"/>
    <w:rsid w:val="00A85B8B"/>
    <w:rsid w:val="00A86F47"/>
    <w:rsid w:val="00A90549"/>
    <w:rsid w:val="00A92450"/>
    <w:rsid w:val="00A924CE"/>
    <w:rsid w:val="00A92DAB"/>
    <w:rsid w:val="00A967AB"/>
    <w:rsid w:val="00AA78CC"/>
    <w:rsid w:val="00AB2921"/>
    <w:rsid w:val="00AB293B"/>
    <w:rsid w:val="00AB31BA"/>
    <w:rsid w:val="00AB37B3"/>
    <w:rsid w:val="00AB6CB5"/>
    <w:rsid w:val="00AC27FB"/>
    <w:rsid w:val="00AC38E1"/>
    <w:rsid w:val="00AC4074"/>
    <w:rsid w:val="00AC7566"/>
    <w:rsid w:val="00AD2CD8"/>
    <w:rsid w:val="00AD413D"/>
    <w:rsid w:val="00AD4FDB"/>
    <w:rsid w:val="00AE5D41"/>
    <w:rsid w:val="00AF23A2"/>
    <w:rsid w:val="00AF537E"/>
    <w:rsid w:val="00AF7443"/>
    <w:rsid w:val="00B020D9"/>
    <w:rsid w:val="00B04DAF"/>
    <w:rsid w:val="00B06B6D"/>
    <w:rsid w:val="00B11A99"/>
    <w:rsid w:val="00B12273"/>
    <w:rsid w:val="00B14DE2"/>
    <w:rsid w:val="00B15F3D"/>
    <w:rsid w:val="00B2400C"/>
    <w:rsid w:val="00B24944"/>
    <w:rsid w:val="00B26CED"/>
    <w:rsid w:val="00B27512"/>
    <w:rsid w:val="00B321C3"/>
    <w:rsid w:val="00B339F1"/>
    <w:rsid w:val="00B357BC"/>
    <w:rsid w:val="00B40D59"/>
    <w:rsid w:val="00B44CF7"/>
    <w:rsid w:val="00B45178"/>
    <w:rsid w:val="00B50E7A"/>
    <w:rsid w:val="00B52511"/>
    <w:rsid w:val="00B55146"/>
    <w:rsid w:val="00B60C94"/>
    <w:rsid w:val="00B7222F"/>
    <w:rsid w:val="00B8370C"/>
    <w:rsid w:val="00B83F3A"/>
    <w:rsid w:val="00B84FF7"/>
    <w:rsid w:val="00B867CD"/>
    <w:rsid w:val="00B87D30"/>
    <w:rsid w:val="00B93EC2"/>
    <w:rsid w:val="00B9506F"/>
    <w:rsid w:val="00BA1361"/>
    <w:rsid w:val="00BA3298"/>
    <w:rsid w:val="00BA7A8A"/>
    <w:rsid w:val="00BB1D48"/>
    <w:rsid w:val="00BB6A15"/>
    <w:rsid w:val="00BB6AA3"/>
    <w:rsid w:val="00BB735E"/>
    <w:rsid w:val="00BC4533"/>
    <w:rsid w:val="00BC6E1D"/>
    <w:rsid w:val="00BD08FF"/>
    <w:rsid w:val="00BE2687"/>
    <w:rsid w:val="00BE3471"/>
    <w:rsid w:val="00BF18C8"/>
    <w:rsid w:val="00BF273B"/>
    <w:rsid w:val="00BF2EBC"/>
    <w:rsid w:val="00BF353A"/>
    <w:rsid w:val="00BF54D8"/>
    <w:rsid w:val="00C001E4"/>
    <w:rsid w:val="00C02FC6"/>
    <w:rsid w:val="00C07F27"/>
    <w:rsid w:val="00C11C2D"/>
    <w:rsid w:val="00C133DE"/>
    <w:rsid w:val="00C15B9E"/>
    <w:rsid w:val="00C16BD9"/>
    <w:rsid w:val="00C262F5"/>
    <w:rsid w:val="00C32307"/>
    <w:rsid w:val="00C3326E"/>
    <w:rsid w:val="00C353FF"/>
    <w:rsid w:val="00C355A0"/>
    <w:rsid w:val="00C35E71"/>
    <w:rsid w:val="00C40FAD"/>
    <w:rsid w:val="00C435A1"/>
    <w:rsid w:val="00C464DB"/>
    <w:rsid w:val="00C46967"/>
    <w:rsid w:val="00C47831"/>
    <w:rsid w:val="00C47CE6"/>
    <w:rsid w:val="00C511C5"/>
    <w:rsid w:val="00C54660"/>
    <w:rsid w:val="00C55433"/>
    <w:rsid w:val="00C55D8B"/>
    <w:rsid w:val="00C578AA"/>
    <w:rsid w:val="00C60D06"/>
    <w:rsid w:val="00C60E0B"/>
    <w:rsid w:val="00C618E1"/>
    <w:rsid w:val="00C61AE5"/>
    <w:rsid w:val="00C6215A"/>
    <w:rsid w:val="00C62815"/>
    <w:rsid w:val="00C63C40"/>
    <w:rsid w:val="00C66184"/>
    <w:rsid w:val="00C66496"/>
    <w:rsid w:val="00C71B00"/>
    <w:rsid w:val="00C741DA"/>
    <w:rsid w:val="00C81835"/>
    <w:rsid w:val="00C83AC0"/>
    <w:rsid w:val="00C844E6"/>
    <w:rsid w:val="00C858DE"/>
    <w:rsid w:val="00C879CE"/>
    <w:rsid w:val="00C91A8B"/>
    <w:rsid w:val="00C92002"/>
    <w:rsid w:val="00C93099"/>
    <w:rsid w:val="00C947BD"/>
    <w:rsid w:val="00CA19BB"/>
    <w:rsid w:val="00CA2A7E"/>
    <w:rsid w:val="00CA2F87"/>
    <w:rsid w:val="00CA452E"/>
    <w:rsid w:val="00CA473C"/>
    <w:rsid w:val="00CA62AC"/>
    <w:rsid w:val="00CB056D"/>
    <w:rsid w:val="00CB224E"/>
    <w:rsid w:val="00CB5EF3"/>
    <w:rsid w:val="00CB7403"/>
    <w:rsid w:val="00CC0C5D"/>
    <w:rsid w:val="00CC1589"/>
    <w:rsid w:val="00CC63F2"/>
    <w:rsid w:val="00CC682C"/>
    <w:rsid w:val="00CE0311"/>
    <w:rsid w:val="00CE05A3"/>
    <w:rsid w:val="00CE44B3"/>
    <w:rsid w:val="00CE71C2"/>
    <w:rsid w:val="00D02941"/>
    <w:rsid w:val="00D02BC7"/>
    <w:rsid w:val="00D03557"/>
    <w:rsid w:val="00D066FC"/>
    <w:rsid w:val="00D07897"/>
    <w:rsid w:val="00D07980"/>
    <w:rsid w:val="00D07C52"/>
    <w:rsid w:val="00D12AE0"/>
    <w:rsid w:val="00D137A4"/>
    <w:rsid w:val="00D14A83"/>
    <w:rsid w:val="00D17CC1"/>
    <w:rsid w:val="00D206C7"/>
    <w:rsid w:val="00D226C2"/>
    <w:rsid w:val="00D22A9E"/>
    <w:rsid w:val="00D233C2"/>
    <w:rsid w:val="00D3033F"/>
    <w:rsid w:val="00D32DA1"/>
    <w:rsid w:val="00D34525"/>
    <w:rsid w:val="00D36DB4"/>
    <w:rsid w:val="00D42D21"/>
    <w:rsid w:val="00D44A7C"/>
    <w:rsid w:val="00D45285"/>
    <w:rsid w:val="00D56217"/>
    <w:rsid w:val="00D60D49"/>
    <w:rsid w:val="00D62913"/>
    <w:rsid w:val="00D64081"/>
    <w:rsid w:val="00D65042"/>
    <w:rsid w:val="00D6542B"/>
    <w:rsid w:val="00D66001"/>
    <w:rsid w:val="00D66419"/>
    <w:rsid w:val="00D71675"/>
    <w:rsid w:val="00D71DA4"/>
    <w:rsid w:val="00D7510E"/>
    <w:rsid w:val="00D764BF"/>
    <w:rsid w:val="00D80B83"/>
    <w:rsid w:val="00D80D27"/>
    <w:rsid w:val="00D9071F"/>
    <w:rsid w:val="00D91B21"/>
    <w:rsid w:val="00D97A6C"/>
    <w:rsid w:val="00DA1249"/>
    <w:rsid w:val="00DA1A00"/>
    <w:rsid w:val="00DA32C2"/>
    <w:rsid w:val="00DA390F"/>
    <w:rsid w:val="00DA4AB1"/>
    <w:rsid w:val="00DA67FA"/>
    <w:rsid w:val="00DA7D0B"/>
    <w:rsid w:val="00DB0708"/>
    <w:rsid w:val="00DB61F5"/>
    <w:rsid w:val="00DB63C9"/>
    <w:rsid w:val="00DB6D5B"/>
    <w:rsid w:val="00DD02F9"/>
    <w:rsid w:val="00DD36B9"/>
    <w:rsid w:val="00DD465B"/>
    <w:rsid w:val="00DD73C9"/>
    <w:rsid w:val="00DD7E70"/>
    <w:rsid w:val="00DE1F1E"/>
    <w:rsid w:val="00DE1F62"/>
    <w:rsid w:val="00DE3574"/>
    <w:rsid w:val="00DE6B54"/>
    <w:rsid w:val="00DF2D62"/>
    <w:rsid w:val="00DF387C"/>
    <w:rsid w:val="00DF4B62"/>
    <w:rsid w:val="00DF4CD1"/>
    <w:rsid w:val="00E136BA"/>
    <w:rsid w:val="00E14F39"/>
    <w:rsid w:val="00E21224"/>
    <w:rsid w:val="00E2329A"/>
    <w:rsid w:val="00E27E0F"/>
    <w:rsid w:val="00E32AD8"/>
    <w:rsid w:val="00E33515"/>
    <w:rsid w:val="00E3493F"/>
    <w:rsid w:val="00E37FDB"/>
    <w:rsid w:val="00E44520"/>
    <w:rsid w:val="00E4645D"/>
    <w:rsid w:val="00E47712"/>
    <w:rsid w:val="00E51177"/>
    <w:rsid w:val="00E51BCF"/>
    <w:rsid w:val="00E52E71"/>
    <w:rsid w:val="00E532A4"/>
    <w:rsid w:val="00E54AEB"/>
    <w:rsid w:val="00E57FF2"/>
    <w:rsid w:val="00E63C29"/>
    <w:rsid w:val="00E65330"/>
    <w:rsid w:val="00E66D3A"/>
    <w:rsid w:val="00E73B86"/>
    <w:rsid w:val="00E77293"/>
    <w:rsid w:val="00E80FA2"/>
    <w:rsid w:val="00E83F44"/>
    <w:rsid w:val="00E84533"/>
    <w:rsid w:val="00E853B1"/>
    <w:rsid w:val="00E85AA9"/>
    <w:rsid w:val="00E96D37"/>
    <w:rsid w:val="00EA22D8"/>
    <w:rsid w:val="00EB03C5"/>
    <w:rsid w:val="00EB6C78"/>
    <w:rsid w:val="00EC5998"/>
    <w:rsid w:val="00ED4E76"/>
    <w:rsid w:val="00EE160B"/>
    <w:rsid w:val="00EE523B"/>
    <w:rsid w:val="00EE7F85"/>
    <w:rsid w:val="00EF006E"/>
    <w:rsid w:val="00EF06F5"/>
    <w:rsid w:val="00EF266B"/>
    <w:rsid w:val="00EF5429"/>
    <w:rsid w:val="00EF551F"/>
    <w:rsid w:val="00EF6614"/>
    <w:rsid w:val="00EF7668"/>
    <w:rsid w:val="00F03717"/>
    <w:rsid w:val="00F04E6C"/>
    <w:rsid w:val="00F0747B"/>
    <w:rsid w:val="00F124F0"/>
    <w:rsid w:val="00F13C4C"/>
    <w:rsid w:val="00F1445F"/>
    <w:rsid w:val="00F14B5F"/>
    <w:rsid w:val="00F20AEC"/>
    <w:rsid w:val="00F22E77"/>
    <w:rsid w:val="00F23EA1"/>
    <w:rsid w:val="00F26C09"/>
    <w:rsid w:val="00F3231A"/>
    <w:rsid w:val="00F3262A"/>
    <w:rsid w:val="00F33BFA"/>
    <w:rsid w:val="00F346DB"/>
    <w:rsid w:val="00F3655A"/>
    <w:rsid w:val="00F40DF9"/>
    <w:rsid w:val="00F43028"/>
    <w:rsid w:val="00F52023"/>
    <w:rsid w:val="00F555B5"/>
    <w:rsid w:val="00F61D5F"/>
    <w:rsid w:val="00F651E3"/>
    <w:rsid w:val="00F655F6"/>
    <w:rsid w:val="00F65952"/>
    <w:rsid w:val="00F6769C"/>
    <w:rsid w:val="00F712E5"/>
    <w:rsid w:val="00F72B6D"/>
    <w:rsid w:val="00F73D9C"/>
    <w:rsid w:val="00F742E2"/>
    <w:rsid w:val="00F8214E"/>
    <w:rsid w:val="00F85FD6"/>
    <w:rsid w:val="00F8779D"/>
    <w:rsid w:val="00F934A0"/>
    <w:rsid w:val="00FA24F1"/>
    <w:rsid w:val="00FA2A78"/>
    <w:rsid w:val="00FA3225"/>
    <w:rsid w:val="00FA3244"/>
    <w:rsid w:val="00FA4634"/>
    <w:rsid w:val="00FB17B3"/>
    <w:rsid w:val="00FB3C8E"/>
    <w:rsid w:val="00FB7EB2"/>
    <w:rsid w:val="00FC126C"/>
    <w:rsid w:val="00FC72F8"/>
    <w:rsid w:val="00FD00BB"/>
    <w:rsid w:val="00FD1480"/>
    <w:rsid w:val="00FE0F02"/>
    <w:rsid w:val="00FE3E2A"/>
    <w:rsid w:val="00FE67BA"/>
    <w:rsid w:val="00FF0287"/>
    <w:rsid w:val="00FF4029"/>
    <w:rsid w:val="038628F1"/>
    <w:rsid w:val="039667A9"/>
    <w:rsid w:val="04235209"/>
    <w:rsid w:val="045F650B"/>
    <w:rsid w:val="08C728BB"/>
    <w:rsid w:val="0A382D7A"/>
    <w:rsid w:val="0F6056FB"/>
    <w:rsid w:val="0FF55D48"/>
    <w:rsid w:val="100F425F"/>
    <w:rsid w:val="105A61FF"/>
    <w:rsid w:val="105C2BAD"/>
    <w:rsid w:val="109D0B19"/>
    <w:rsid w:val="11180BD4"/>
    <w:rsid w:val="11D005D1"/>
    <w:rsid w:val="135E2F58"/>
    <w:rsid w:val="14C67B43"/>
    <w:rsid w:val="14E445E7"/>
    <w:rsid w:val="177214DD"/>
    <w:rsid w:val="1941291D"/>
    <w:rsid w:val="1BCB4643"/>
    <w:rsid w:val="1C912A2E"/>
    <w:rsid w:val="1CB24959"/>
    <w:rsid w:val="1E5B7E5A"/>
    <w:rsid w:val="1FC5404D"/>
    <w:rsid w:val="20A63B33"/>
    <w:rsid w:val="2139428A"/>
    <w:rsid w:val="219107C8"/>
    <w:rsid w:val="21D14C07"/>
    <w:rsid w:val="22177D33"/>
    <w:rsid w:val="25B14CA2"/>
    <w:rsid w:val="2C22657D"/>
    <w:rsid w:val="2C4E4C32"/>
    <w:rsid w:val="2CF80DA4"/>
    <w:rsid w:val="2F66231A"/>
    <w:rsid w:val="2F8060E3"/>
    <w:rsid w:val="323C0EF2"/>
    <w:rsid w:val="325C0CEB"/>
    <w:rsid w:val="34844F66"/>
    <w:rsid w:val="3525019E"/>
    <w:rsid w:val="36D3172B"/>
    <w:rsid w:val="36FC7316"/>
    <w:rsid w:val="37757EA8"/>
    <w:rsid w:val="38203994"/>
    <w:rsid w:val="391E7F30"/>
    <w:rsid w:val="3BD74E89"/>
    <w:rsid w:val="3C7B3917"/>
    <w:rsid w:val="3FF83F9F"/>
    <w:rsid w:val="400B37AF"/>
    <w:rsid w:val="40633A7A"/>
    <w:rsid w:val="40701725"/>
    <w:rsid w:val="430249C3"/>
    <w:rsid w:val="43BA30A0"/>
    <w:rsid w:val="43F12025"/>
    <w:rsid w:val="44A92C7E"/>
    <w:rsid w:val="457507D2"/>
    <w:rsid w:val="45F172C1"/>
    <w:rsid w:val="467A2DE5"/>
    <w:rsid w:val="476C3664"/>
    <w:rsid w:val="4DCE7EA7"/>
    <w:rsid w:val="5012642E"/>
    <w:rsid w:val="5285266E"/>
    <w:rsid w:val="56C33441"/>
    <w:rsid w:val="57DD19F8"/>
    <w:rsid w:val="57E9632F"/>
    <w:rsid w:val="5BF61B29"/>
    <w:rsid w:val="5CC154E6"/>
    <w:rsid w:val="5E8C6420"/>
    <w:rsid w:val="5ED12A9F"/>
    <w:rsid w:val="61E57043"/>
    <w:rsid w:val="62270222"/>
    <w:rsid w:val="622A321C"/>
    <w:rsid w:val="62CC5C4B"/>
    <w:rsid w:val="63C30197"/>
    <w:rsid w:val="644820DA"/>
    <w:rsid w:val="675E2377"/>
    <w:rsid w:val="67DD1890"/>
    <w:rsid w:val="68CE0B4C"/>
    <w:rsid w:val="69A3285F"/>
    <w:rsid w:val="6A2C21D9"/>
    <w:rsid w:val="6AC31C26"/>
    <w:rsid w:val="6C443571"/>
    <w:rsid w:val="6E5023E3"/>
    <w:rsid w:val="6FC51B5C"/>
    <w:rsid w:val="70557CD1"/>
    <w:rsid w:val="71880FE9"/>
    <w:rsid w:val="7749586F"/>
    <w:rsid w:val="778F493D"/>
    <w:rsid w:val="78F3519D"/>
    <w:rsid w:val="798E34C2"/>
    <w:rsid w:val="7A285A84"/>
    <w:rsid w:val="7BC37572"/>
    <w:rsid w:val="7F4014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pPr>
    <w:rPr>
      <w:rFonts w:ascii="宋体" w:hAnsi="宋体" w:eastAsia="宋体" w:cs="宋体"/>
      <w:lang w:eastAsia="zh-CN"/>
    </w:rPr>
  </w:style>
  <w:style w:type="table" w:styleId="7">
    <w:name w:val="Table Grid"/>
    <w:basedOn w:val="6"/>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563C1"/>
      <w:u w:val="single"/>
    </w:rPr>
  </w:style>
  <w:style w:type="character" w:customStyle="1" w:styleId="10">
    <w:name w:val="批注框文本 Char"/>
    <w:link w:val="2"/>
    <w:semiHidden/>
    <w:qFormat/>
    <w:uiPriority w:val="99"/>
    <w:rPr>
      <w:sz w:val="18"/>
      <w:szCs w:val="18"/>
    </w:rPr>
  </w:style>
  <w:style w:type="character" w:customStyle="1" w:styleId="11">
    <w:name w:val="页脚 Char"/>
    <w:link w:val="3"/>
    <w:qFormat/>
    <w:uiPriority w:val="99"/>
    <w:rPr>
      <w:sz w:val="18"/>
      <w:szCs w:val="18"/>
    </w:rPr>
  </w:style>
  <w:style w:type="paragraph" w:customStyle="1" w:styleId="12">
    <w:name w:val="Normal_1"/>
    <w:qFormat/>
    <w:uiPriority w:val="0"/>
    <w:rPr>
      <w:rFonts w:ascii="Times New Roman" w:hAnsi="Times New Roman" w:eastAsia="宋体" w:cs="Times New Roman"/>
      <w:sz w:val="24"/>
      <w:szCs w:val="24"/>
      <w:lang w:val="en-US" w:eastAsia="zh-CN" w:bidi="ar-SA"/>
    </w:rPr>
  </w:style>
  <w:style w:type="paragraph" w:customStyle="1" w:styleId="13">
    <w:name w:val="正文_0"/>
    <w:qFormat/>
    <w:uiPriority w:val="0"/>
    <w:rPr>
      <w:rFonts w:ascii="Calibri" w:hAnsi="Calibri" w:eastAsia="Times New Roman" w:cs="Times New Roman"/>
      <w:sz w:val="24"/>
      <w:szCs w:val="24"/>
      <w:lang w:val="en-US" w:eastAsia="en-US" w:bidi="ar-SA"/>
    </w:rPr>
  </w:style>
  <w:style w:type="paragraph" w:styleId="14">
    <w:name w:val="List Paragraph"/>
    <w:basedOn w:val="1"/>
    <w:qFormat/>
    <w:uiPriority w:val="34"/>
    <w:pPr>
      <w:ind w:firstLine="420" w:firstLineChars="200"/>
    </w:pPr>
  </w:style>
  <w:style w:type="paragraph" w:customStyle="1" w:styleId="15">
    <w:name w:val="Normal_0"/>
    <w:qFormat/>
    <w:uiPriority w:val="0"/>
    <w:rPr>
      <w:rFonts w:ascii="Times New Roman" w:hAnsi="Times New Roman" w:eastAsia="宋体" w:cs="Times New Roman"/>
      <w:sz w:val="24"/>
      <w:szCs w:val="24"/>
      <w:lang w:val="en-US" w:eastAsia="zh-CN" w:bidi="ar-SA"/>
    </w:rPr>
  </w:style>
  <w:style w:type="paragraph" w:customStyle="1" w:styleId="16">
    <w:name w:val="Normal_2"/>
    <w:qFormat/>
    <w:uiPriority w:val="0"/>
    <w:pPr>
      <w:jc w:val="both"/>
    </w:pPr>
    <w:rPr>
      <w:rFonts w:ascii="Calibri" w:hAnsi="Calibri" w:eastAsia="宋体" w:cs="Calibri"/>
      <w:kern w:val="2"/>
      <w:sz w:val="21"/>
      <w:szCs w:val="21"/>
      <w:lang w:val="en-US" w:eastAsia="zh-CN" w:bidi="ar-SA"/>
    </w:rPr>
  </w:style>
  <w:style w:type="table" w:customStyle="1" w:styleId="17">
    <w:name w:val="Table Grid_0"/>
    <w:basedOn w:val="6"/>
    <w:qFormat/>
    <w:uiPriority w:val="39"/>
    <w:rPr>
      <w:rFonts w:ascii="Calibri" w:hAnsi="Calibri"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Grid_1"/>
    <w:basedOn w:val="6"/>
    <w:qFormat/>
    <w:uiPriority w:val="39"/>
    <w:rPr>
      <w:rFonts w:ascii="Calibri" w:hAnsi="Calibri"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07;&#21019;&#36164;&#26009;&#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原创资料模板.dot</Template>
  <Pages>4</Pages>
  <Words>5240</Words>
  <Characters>5606</Characters>
  <Lines>42</Lines>
  <Paragraphs>12</Paragraphs>
  <TotalTime>15</TotalTime>
  <ScaleCrop>false</ScaleCrop>
  <LinksUpToDate>false</LinksUpToDate>
  <CharactersWithSpaces>5775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2023-10-12T05:57:00Z</dcterms:created>
  <dc:creator>。。。。。</dc:creator>
  <cp:lastModifiedBy>独秀山</cp:lastModifiedBy>
  <cp:lastPrinted>2021-03-12T08:55:00Z</cp:lastPrinted>
  <dcterms:modified xsi:type="dcterms:W3CDTF">2025-04-10T23:22:59Z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eyJoZGlkIjoiZWZiNmNkMTdjMGEwMTkxM2MzNzRlMDgyMWY5MzA4ZGIiLCJ1c2VySWQiOiIxMjY2NDk1MTc2In0=</vt:lpwstr>
  </property>
  <property fmtid="{D5CDD505-2E9C-101B-9397-08002B2CF9AE}" pid="7" name="KSOProductBuildVer">
    <vt:lpwstr>2052-12.1.0.20784</vt:lpwstr>
  </property>
  <property fmtid="{D5CDD505-2E9C-101B-9397-08002B2CF9AE}" pid="8" name="ICV">
    <vt:lpwstr>709A61EC43684029A1F8A5E6D7C5A5E0_12</vt:lpwstr>
  </property>
</Properties>
</file>