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1EDD3">
      <w:pPr>
        <w:spacing w:line="360" w:lineRule="auto"/>
        <w:ind w:left="315"/>
        <w:jc w:val="center"/>
        <w:rPr>
          <w:rFonts w:ascii="Times New Roman" w:hAnsi="Times New Roman" w:cs="Times New Roman"/>
          <w:b/>
          <w:bCs/>
          <w:sz w:val="36"/>
          <w:szCs w:val="36"/>
        </w:rPr>
      </w:pPr>
      <w:r>
        <w:rPr>
          <w:rFonts w:ascii="Times New Roman" w:hAnsi="Times New Roman" w:cs="Times New Roman"/>
          <w:b/>
          <w:bCs/>
          <w:sz w:val="36"/>
          <w:szCs w:val="36"/>
        </w:rPr>
        <w:drawing>
          <wp:anchor distT="0" distB="0" distL="114300" distR="114300" simplePos="0" relativeHeight="251659264" behindDoc="0" locked="0" layoutInCell="1" allowOverlap="1">
            <wp:simplePos x="0" y="0"/>
            <wp:positionH relativeFrom="page">
              <wp:posOffset>10960100</wp:posOffset>
            </wp:positionH>
            <wp:positionV relativeFrom="topMargin">
              <wp:posOffset>11976100</wp:posOffset>
            </wp:positionV>
            <wp:extent cx="469900" cy="368300"/>
            <wp:effectExtent l="0" t="0" r="6350" b="12700"/>
            <wp:wrapNone/>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6"/>
                    <a:stretch>
                      <a:fillRect/>
                    </a:stretch>
                  </pic:blipFill>
                  <pic:spPr>
                    <a:xfrm>
                      <a:off x="0" y="0"/>
                      <a:ext cx="469900" cy="368300"/>
                    </a:xfrm>
                    <a:prstGeom prst="rect">
                      <a:avLst/>
                    </a:prstGeom>
                  </pic:spPr>
                </pic:pic>
              </a:graphicData>
            </a:graphic>
          </wp:anchor>
        </w:drawing>
      </w:r>
      <w:r>
        <w:rPr>
          <w:rFonts w:ascii="Times New Roman" w:hAnsi="Times New Roman" w:cs="Times New Roman"/>
          <w:b/>
          <w:bCs/>
          <w:sz w:val="36"/>
          <w:szCs w:val="36"/>
        </w:rPr>
        <w:drawing>
          <wp:anchor distT="0" distB="0" distL="114300" distR="114300" simplePos="0" relativeHeight="251660288" behindDoc="0" locked="0" layoutInCell="1" allowOverlap="1">
            <wp:simplePos x="0" y="0"/>
            <wp:positionH relativeFrom="page">
              <wp:posOffset>11430000</wp:posOffset>
            </wp:positionH>
            <wp:positionV relativeFrom="topMargin">
              <wp:posOffset>11099800</wp:posOffset>
            </wp:positionV>
            <wp:extent cx="279400" cy="482600"/>
            <wp:effectExtent l="0" t="0" r="0" b="0"/>
            <wp:wrapNone/>
            <wp:docPr id="100038" name="图片 100038" descr="学科网 tzp+jWwOwd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8" name="图片 100038" descr="学科网 tzp+jWwOwdDNAx1ODbqMbQ=="/>
                    <pic:cNvPicPr>
                      <a:picLocks noChangeAspect="1"/>
                    </pic:cNvPicPr>
                  </pic:nvPicPr>
                  <pic:blipFill>
                    <a:blip r:embed="rId7"/>
                    <a:stretch>
                      <a:fillRect/>
                    </a:stretch>
                  </pic:blipFill>
                  <pic:spPr>
                    <a:xfrm>
                      <a:off x="0" y="0"/>
                      <a:ext cx="279400" cy="482600"/>
                    </a:xfrm>
                    <a:prstGeom prst="rect">
                      <a:avLst/>
                    </a:prstGeom>
                  </pic:spPr>
                </pic:pic>
              </a:graphicData>
            </a:graphic>
          </wp:anchor>
        </w:drawing>
      </w:r>
      <w:r>
        <w:rPr>
          <w:rFonts w:ascii="Times New Roman" w:hAnsi="Times New Roman" w:cs="Times New Roman"/>
        </w:rPr>
        <w:drawing>
          <wp:anchor distT="0" distB="0" distL="114300" distR="114300" simplePos="0" relativeHeight="251661312" behindDoc="0" locked="0" layoutInCell="1" allowOverlap="1">
            <wp:simplePos x="0" y="0"/>
            <wp:positionH relativeFrom="page">
              <wp:posOffset>10160000</wp:posOffset>
            </wp:positionH>
            <wp:positionV relativeFrom="topMargin">
              <wp:posOffset>11760200</wp:posOffset>
            </wp:positionV>
            <wp:extent cx="342900" cy="368300"/>
            <wp:effectExtent l="0" t="0" r="0" b="12700"/>
            <wp:wrapNone/>
            <wp:docPr id="100052" name="图片 100052" descr="学科网 tzp+jWwOwd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2" name="图片 100052" descr="学科网 tzp+jWwOwdDNAx1ODbqMbQ=="/>
                    <pic:cNvPicPr>
                      <a:picLocks noChangeAspect="1"/>
                    </pic:cNvPicPr>
                  </pic:nvPicPr>
                  <pic:blipFill>
                    <a:blip r:embed="rId8"/>
                    <a:stretch>
                      <a:fillRect/>
                    </a:stretch>
                  </pic:blipFill>
                  <pic:spPr>
                    <a:xfrm>
                      <a:off x="0" y="0"/>
                      <a:ext cx="342900" cy="368300"/>
                    </a:xfrm>
                    <a:prstGeom prst="rect">
                      <a:avLst/>
                    </a:prstGeom>
                  </pic:spPr>
                </pic:pic>
              </a:graphicData>
            </a:graphic>
          </wp:anchor>
        </w:drawing>
      </w:r>
      <w:r>
        <w:rPr>
          <w:rFonts w:ascii="Times New Roman" w:hAnsi="Times New Roman" w:cs="Times New Roman"/>
        </w:rPr>
        <w:drawing>
          <wp:anchor distT="0" distB="0" distL="114300" distR="114300" simplePos="0" relativeHeight="251662336" behindDoc="0" locked="0" layoutInCell="1" allowOverlap="1">
            <wp:simplePos x="0" y="0"/>
            <wp:positionH relativeFrom="page">
              <wp:posOffset>11201400</wp:posOffset>
            </wp:positionH>
            <wp:positionV relativeFrom="topMargin">
              <wp:posOffset>10553700</wp:posOffset>
            </wp:positionV>
            <wp:extent cx="368300" cy="457200"/>
            <wp:effectExtent l="0" t="0" r="12700" b="0"/>
            <wp:wrapNone/>
            <wp:docPr id="100349" name="图片 100349" descr="学科网 tzp+jWwOwd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9" name="图片 100349" descr="学科网 tzp+jWwOwdDNAx1ODbqMbQ=="/>
                    <pic:cNvPicPr>
                      <a:picLocks noChangeAspect="1"/>
                    </pic:cNvPicPr>
                  </pic:nvPicPr>
                  <pic:blipFill>
                    <a:blip r:embed="rId9"/>
                    <a:stretch>
                      <a:fillRect/>
                    </a:stretch>
                  </pic:blipFill>
                  <pic:spPr>
                    <a:xfrm>
                      <a:off x="0" y="0"/>
                      <a:ext cx="368300" cy="457200"/>
                    </a:xfrm>
                    <a:prstGeom prst="rect">
                      <a:avLst/>
                    </a:prstGeom>
                  </pic:spPr>
                </pic:pic>
              </a:graphicData>
            </a:graphic>
          </wp:anchor>
        </w:drawing>
      </w:r>
      <w:r>
        <w:rPr>
          <w:rFonts w:ascii="Times New Roman" w:hAnsi="Times New Roman" w:cs="Times New Roman"/>
        </w:rPr>
        <w:drawing>
          <wp:anchor distT="0" distB="0" distL="114300" distR="114300" simplePos="0" relativeHeight="251663360" behindDoc="0" locked="0" layoutInCell="1" allowOverlap="1">
            <wp:simplePos x="0" y="0"/>
            <wp:positionH relativeFrom="page">
              <wp:posOffset>11658600</wp:posOffset>
            </wp:positionH>
            <wp:positionV relativeFrom="topMargin">
              <wp:posOffset>11925300</wp:posOffset>
            </wp:positionV>
            <wp:extent cx="317500" cy="279400"/>
            <wp:effectExtent l="0" t="0" r="2540" b="10160"/>
            <wp:wrapNone/>
            <wp:docPr id="100073" name="图片 100073" descr="学科网 tzp+jWwOwd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图片 100073" descr="学科网 tzp+jWwOwdDNAx1ODbqMbQ=="/>
                    <pic:cNvPicPr>
                      <a:picLocks noChangeAspect="1"/>
                    </pic:cNvPicPr>
                  </pic:nvPicPr>
                  <pic:blipFill>
                    <a:blip r:embed="rId10"/>
                    <a:stretch>
                      <a:fillRect/>
                    </a:stretch>
                  </pic:blipFill>
                  <pic:spPr>
                    <a:xfrm>
                      <a:off x="0" y="0"/>
                      <a:ext cx="317500" cy="279400"/>
                    </a:xfrm>
                    <a:prstGeom prst="rect">
                      <a:avLst/>
                    </a:prstGeom>
                  </pic:spPr>
                </pic:pic>
              </a:graphicData>
            </a:graphic>
          </wp:anchor>
        </w:drawing>
      </w:r>
      <w:r>
        <w:rPr>
          <w:rFonts w:ascii="Times New Roman" w:hAnsi="Times New Roman" w:cs="Times New Roman"/>
          <w:b/>
          <w:bCs/>
          <w:sz w:val="36"/>
          <w:szCs w:val="36"/>
        </w:rPr>
        <w:t>必修二 经济与社会</w:t>
      </w:r>
    </w:p>
    <w:p w14:paraId="3E287A75">
      <w:pPr>
        <w:spacing w:line="360" w:lineRule="auto"/>
        <w:ind w:left="315"/>
        <w:jc w:val="center"/>
        <w:rPr>
          <w:rFonts w:ascii="Times New Roman" w:hAnsi="Times New Roman" w:cs="Times New Roman"/>
        </w:rPr>
      </w:pPr>
      <w:r>
        <w:rPr>
          <w:rFonts w:ascii="Times New Roman" w:hAnsi="Times New Roman" w:cs="Times New Roman"/>
        </w:rPr>
        <w:t>（考试时间：90分钟，试卷满分100分）</w:t>
      </w:r>
    </w:p>
    <w:p w14:paraId="2326610A">
      <w:pPr>
        <w:spacing w:line="360" w:lineRule="auto"/>
        <w:ind w:left="315"/>
        <w:jc w:val="center"/>
        <w:rPr>
          <w:rFonts w:ascii="Times New Roman" w:hAnsi="Times New Roman" w:cs="Times New Roman"/>
          <w:b/>
          <w:bCs/>
          <w:sz w:val="24"/>
          <w:szCs w:val="28"/>
        </w:rPr>
      </w:pPr>
      <w:r>
        <w:rPr>
          <w:rFonts w:ascii="Times New Roman" w:hAnsi="Times New Roman" w:cs="Times New Roman"/>
          <w:b/>
          <w:bCs/>
          <w:sz w:val="24"/>
          <w:szCs w:val="28"/>
        </w:rPr>
        <w:t>第I卷（选择题 52分）</w:t>
      </w:r>
    </w:p>
    <w:p w14:paraId="4590F3C0">
      <w:pPr>
        <w:spacing w:line="360" w:lineRule="auto"/>
        <w:rPr>
          <w:rFonts w:ascii="Times New Roman" w:hAnsi="Times New Roman" w:eastAsia="宋体" w:cs="Times New Roman"/>
          <w:b/>
          <w:bCs/>
        </w:rPr>
      </w:pPr>
      <w:r>
        <w:rPr>
          <w:rFonts w:ascii="Times New Roman" w:hAnsi="Times New Roman" w:eastAsia="宋体" w:cs="Times New Roman"/>
          <w:b/>
          <w:bCs/>
        </w:rPr>
        <w:t>一、选择题（本题共17个小题，每小题2分，共34分。在每小题给出的四个选项中，只有一项是符合题目要求的）</w:t>
      </w:r>
    </w:p>
    <w:p w14:paraId="25E35FC2">
      <w:pPr>
        <w:spacing w:line="360" w:lineRule="auto"/>
        <w:ind w:left="315" w:hanging="315"/>
        <w:jc w:val="left"/>
        <w:textAlignment w:val="center"/>
        <w:rPr>
          <w:rFonts w:ascii="Times New Roman" w:hAnsi="Times New Roman" w:cs="Times New Roman"/>
        </w:rPr>
      </w:pPr>
      <w:r>
        <w:rPr>
          <w:rFonts w:ascii="Times New Roman" w:hAnsi="Times New Roman" w:cs="Times New Roman"/>
        </w:rPr>
        <w:t>1．由于各项政策措施叠加发力，全国个体工商户明显复苏。2023年前三季度，新增个体工商户1719．6万户，同比增长11．7%；登记在册个体工商户达1．22亿户，占经营主体总量的67．3%；超过7万户个体工商户升级为企业。这表明我国（</w:t>
      </w:r>
      <w:r>
        <w:rPr>
          <w:rFonts w:ascii="Times New Roman" w:hAnsi="Times New Roman" w:eastAsia="Times New Roman" w:cs="Times New Roman"/>
          <w:kern w:val="0"/>
          <w:sz w:val="24"/>
          <w:szCs w:val="24"/>
        </w:rPr>
        <w:t xml:space="preserve">   </w:t>
      </w:r>
      <w:r>
        <w:rPr>
          <w:rFonts w:ascii="Times New Roman" w:hAnsi="Times New Roman" w:cs="Times New Roman"/>
        </w:rPr>
        <w:t>）</w:t>
      </w:r>
      <w:bookmarkStart w:id="0" w:name="_GoBack"/>
      <w:bookmarkEnd w:id="0"/>
    </w:p>
    <w:p w14:paraId="1EF60E28">
      <w:pPr>
        <w:spacing w:line="360" w:lineRule="auto"/>
        <w:ind w:left="315"/>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部分经营主体的所有制经济形式在发生变化</w:t>
      </w:r>
    </w:p>
    <w:p w14:paraId="2E7F4A45">
      <w:pPr>
        <w:spacing w:line="360" w:lineRule="auto"/>
        <w:ind w:left="315"/>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非公有制经营主体在经营主体总量中的占比上升</w:t>
      </w:r>
    </w:p>
    <w:p w14:paraId="61598F06">
      <w:pPr>
        <w:spacing w:line="360" w:lineRule="auto"/>
        <w:ind w:left="315"/>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个体工商户受益于“两个毫不动摇”的政策</w:t>
      </w:r>
    </w:p>
    <w:p w14:paraId="3A3B823F">
      <w:pPr>
        <w:spacing w:line="360" w:lineRule="auto"/>
        <w:ind w:left="315"/>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非公有资产在社会总资产中具备某种量的优势</w:t>
      </w:r>
    </w:p>
    <w:p w14:paraId="0B47A82B">
      <w:pPr>
        <w:spacing w:line="360" w:lineRule="auto"/>
        <w:ind w:left="315"/>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②④</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21D53F8D">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【答案】B</w:t>
      </w:r>
    </w:p>
    <w:p w14:paraId="59EB87E1">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：超过7万户个体工商户升级为企业，这表明我国部分个体工商户的个体经济所有制形式在发生变化，</w:t>
      </w:r>
      <w:r>
        <w:rPr>
          <w:rFonts w:hint="eastAsia" w:ascii="宋体" w:hAnsi="宋体" w:eastAsia="宋体" w:cs="宋体"/>
          <w:color w:val="FF0000"/>
        </w:rPr>
        <w:t>①</w:t>
      </w:r>
      <w:r>
        <w:rPr>
          <w:rFonts w:ascii="Times New Roman" w:hAnsi="Times New Roman" w:cs="Times New Roman"/>
          <w:color w:val="FF0000"/>
        </w:rPr>
        <w:t>符合题意。</w:t>
      </w:r>
    </w:p>
    <w:p w14:paraId="79672C6F">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：登记在册个体工商户达占经营主体总量的67.3%，能推出非公有制经营主体在经营主体总量中的占的比重较大，不能推出占比上升，</w:t>
      </w:r>
      <w:r>
        <w:rPr>
          <w:rFonts w:hint="eastAsia" w:ascii="宋体" w:hAnsi="宋体" w:eastAsia="宋体" w:cs="宋体"/>
          <w:color w:val="FF0000"/>
        </w:rPr>
        <w:t>②</w:t>
      </w:r>
      <w:r>
        <w:rPr>
          <w:rFonts w:ascii="Times New Roman" w:hAnsi="Times New Roman" w:cs="Times New Roman"/>
          <w:color w:val="FF0000"/>
        </w:rPr>
        <w:t>排除。</w:t>
      </w:r>
    </w:p>
    <w:p w14:paraId="1B501491">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：由于各项政策措施叠加发力，全国个体工商户明显复苏。说明个体工商户的发展，受益于毫不动摇地鼓励、支持、引导非公有制经济发展的政策，</w:t>
      </w:r>
      <w:r>
        <w:rPr>
          <w:rFonts w:hint="eastAsia" w:ascii="宋体" w:hAnsi="宋体" w:eastAsia="宋体" w:cs="宋体"/>
          <w:color w:val="FF0000"/>
        </w:rPr>
        <w:t>③</w:t>
      </w:r>
      <w:r>
        <w:rPr>
          <w:rFonts w:ascii="Times New Roman" w:hAnsi="Times New Roman" w:cs="Times New Roman"/>
          <w:color w:val="FF0000"/>
        </w:rPr>
        <w:t>符合题意。</w:t>
      </w:r>
    </w:p>
    <w:p w14:paraId="588D0E29">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：公有资产在社会总资产中占优势，既有量的优势也有质的优势。材料也没涉及非公有资产在社会总资产中的比重问题，</w:t>
      </w:r>
      <w:r>
        <w:rPr>
          <w:rFonts w:hint="eastAsia" w:ascii="宋体" w:hAnsi="宋体" w:eastAsia="宋体" w:cs="宋体"/>
          <w:color w:val="FF0000"/>
        </w:rPr>
        <w:t>④</w:t>
      </w:r>
      <w:r>
        <w:rPr>
          <w:rFonts w:ascii="Times New Roman" w:hAnsi="Times New Roman" w:cs="Times New Roman"/>
          <w:color w:val="FF0000"/>
        </w:rPr>
        <w:t>排除。</w:t>
      </w:r>
    </w:p>
    <w:p w14:paraId="7F177042">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故本题选B。</w:t>
      </w:r>
    </w:p>
    <w:p w14:paraId="0851B994">
      <w:pPr>
        <w:spacing w:line="360" w:lineRule="auto"/>
        <w:ind w:left="315" w:hanging="315"/>
        <w:jc w:val="left"/>
        <w:textAlignment w:val="center"/>
        <w:rPr>
          <w:rFonts w:ascii="Times New Roman" w:hAnsi="Times New Roman" w:cs="Times New Roman"/>
        </w:rPr>
      </w:pPr>
      <w:r>
        <w:rPr>
          <w:rFonts w:ascii="Times New Roman" w:hAnsi="Times New Roman" w:cs="Times New Roman"/>
        </w:rPr>
        <w:t>2．近年来，中国出台了更大规模、更高水平的自主开放和单边开放举措：举办中国国际进口博览会，缩减外资准入负面清单，给予外资国民待遇……外资进入中国市场的门槛不断降低，2024年全国新设立外资企业数量同比增长9．9%。这一增长（</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0D8A5447">
      <w:pPr>
        <w:spacing w:line="360" w:lineRule="auto"/>
        <w:ind w:left="315"/>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得益于外资营商环境的改善</w:t>
      </w:r>
    </w:p>
    <w:p w14:paraId="6207EA71">
      <w:pPr>
        <w:spacing w:line="360" w:lineRule="auto"/>
        <w:ind w:left="315"/>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有助于改善民生和稳定就业</w:t>
      </w:r>
    </w:p>
    <w:p w14:paraId="560F7DE7">
      <w:pPr>
        <w:spacing w:line="360" w:lineRule="auto"/>
        <w:ind w:left="315"/>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提高了外资企业的市场竞争力</w:t>
      </w:r>
    </w:p>
    <w:p w14:paraId="750EBC7B">
      <w:pPr>
        <w:spacing w:line="360" w:lineRule="auto"/>
        <w:ind w:left="315"/>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增强了外资经济的规模优势</w:t>
      </w:r>
    </w:p>
    <w:p w14:paraId="354A0164">
      <w:pPr>
        <w:spacing w:line="360" w:lineRule="auto"/>
        <w:ind w:left="315"/>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7489AE58">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【答案】A</w:t>
      </w:r>
    </w:p>
    <w:p w14:paraId="0A1F423B">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：题干明确提到“外资进入中国市场的门槛不断降低”，这直接体现了中国通过开放举措优化了外资营商环境，从而吸引更多外资企业进入。因此，外资企业数量增长是营商环境改善的结果，</w:t>
      </w:r>
      <w:r>
        <w:rPr>
          <w:rFonts w:hint="eastAsia" w:ascii="宋体" w:hAnsi="宋体" w:eastAsia="宋体" w:cs="宋体"/>
          <w:color w:val="FF0000"/>
        </w:rPr>
        <w:t>①</w:t>
      </w:r>
      <w:r>
        <w:rPr>
          <w:rFonts w:ascii="Times New Roman" w:hAnsi="Times New Roman" w:cs="Times New Roman"/>
          <w:color w:val="FF0000"/>
        </w:rPr>
        <w:t>正确。</w:t>
      </w:r>
    </w:p>
    <w:p w14:paraId="4395BDE6">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：外资企业增加能创造更多就业机会，促进经济增长，进而稳定就业；同时，通过提供更多商品和服务，推动技术创新，改善民生，</w:t>
      </w:r>
      <w:r>
        <w:rPr>
          <w:rFonts w:hint="eastAsia" w:ascii="宋体" w:hAnsi="宋体" w:eastAsia="宋体" w:cs="宋体"/>
          <w:color w:val="FF0000"/>
        </w:rPr>
        <w:t>②</w:t>
      </w:r>
      <w:r>
        <w:rPr>
          <w:rFonts w:ascii="Times New Roman" w:hAnsi="Times New Roman" w:cs="Times New Roman"/>
          <w:color w:val="FF0000"/>
        </w:rPr>
        <w:t>正确。</w:t>
      </w:r>
    </w:p>
    <w:p w14:paraId="6117F975">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：题干只强调外资企业“数量”增长，并未涉及竞争力问题。竞争力受技术、管理、市场等多因素影响，数量增加不等于竞争力提升，故</w:t>
      </w:r>
      <w:r>
        <w:rPr>
          <w:rFonts w:hint="eastAsia" w:ascii="宋体" w:hAnsi="宋体" w:eastAsia="宋体" w:cs="宋体"/>
          <w:color w:val="FF0000"/>
        </w:rPr>
        <w:t>③</w:t>
      </w:r>
      <w:r>
        <w:rPr>
          <w:rFonts w:ascii="Times New Roman" w:hAnsi="Times New Roman" w:cs="Times New Roman"/>
          <w:color w:val="FF0000"/>
        </w:rPr>
        <w:t>错误。</w:t>
      </w:r>
    </w:p>
    <w:p w14:paraId="2ED1CCB2">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：我国坚持公有制为主体，外资经济只是重要组成部分，新设外资企业数量增长不会增强其规模优势，故</w:t>
      </w:r>
      <w:r>
        <w:rPr>
          <w:rFonts w:hint="eastAsia" w:ascii="宋体" w:hAnsi="宋体" w:eastAsia="宋体" w:cs="宋体"/>
          <w:color w:val="FF0000"/>
        </w:rPr>
        <w:t>④</w:t>
      </w:r>
      <w:r>
        <w:rPr>
          <w:rFonts w:ascii="Times New Roman" w:hAnsi="Times New Roman" w:cs="Times New Roman"/>
          <w:color w:val="FF0000"/>
        </w:rPr>
        <w:t>错误。</w:t>
      </w:r>
    </w:p>
    <w:p w14:paraId="63EB7DF6">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故本题选A。</w:t>
      </w:r>
    </w:p>
    <w:p w14:paraId="057DD38D">
      <w:pPr>
        <w:spacing w:line="360" w:lineRule="auto"/>
        <w:ind w:left="315" w:hanging="315"/>
        <w:jc w:val="left"/>
        <w:textAlignment w:val="center"/>
        <w:rPr>
          <w:rFonts w:ascii="Times New Roman" w:hAnsi="Times New Roman" w:cs="Times New Roman"/>
        </w:rPr>
      </w:pPr>
      <w:r>
        <w:rPr>
          <w:rFonts w:ascii="Times New Roman" w:hAnsi="Times New Roman" w:cs="Times New Roman"/>
        </w:rPr>
        <w:t>3．近年来，随着电商迅猛发展，实体零售企业生存压力加大，部分实体零售巨头面临亏损、闭店等问题。然而，某实体超市却逆势“出圈”，生意火爆。媒体总结其模式成功的原因主要有：重视产品质量和员工福利，与消费者建立了信任关系。由此可见（</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52FF43E0">
      <w:pPr>
        <w:spacing w:line="360" w:lineRule="auto"/>
        <w:ind w:left="315"/>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诚信经营积累的信誉是企业的无形资产</w:t>
      </w:r>
      <w:r>
        <w:rPr>
          <w:rFonts w:ascii="Times New Roman" w:hAnsi="Times New Roman" w:eastAsia="Times New Roman" w:cs="Times New Roman"/>
          <w:kern w:val="0"/>
          <w:sz w:val="24"/>
          <w:szCs w:val="24"/>
        </w:rPr>
        <w:t xml:space="preserve">        </w:t>
      </w:r>
      <w:r>
        <w:rPr>
          <w:rFonts w:hint="eastAsia" w:ascii="宋体" w:hAnsi="宋体" w:eastAsia="宋体" w:cs="宋体"/>
        </w:rPr>
        <w:t>②</w:t>
      </w:r>
      <w:r>
        <w:rPr>
          <w:rFonts w:ascii="Times New Roman" w:hAnsi="Times New Roman" w:cs="Times New Roman"/>
        </w:rPr>
        <w:t>政府应把这种成功的商业模式加以推广</w:t>
      </w:r>
    </w:p>
    <w:p w14:paraId="15D352BC">
      <w:pPr>
        <w:spacing w:line="360" w:lineRule="auto"/>
        <w:ind w:left="315"/>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该零售企业生意火爆是消费者选择的结果</w:t>
      </w:r>
      <w:r>
        <w:rPr>
          <w:rFonts w:ascii="Times New Roman" w:hAnsi="Times New Roman" w:eastAsia="Times New Roman" w:cs="Times New Roman"/>
          <w:kern w:val="0"/>
          <w:sz w:val="24"/>
          <w:szCs w:val="24"/>
        </w:rPr>
        <w:t xml:space="preserve">      </w:t>
      </w:r>
      <w:r>
        <w:rPr>
          <w:rFonts w:hint="eastAsia" w:ascii="宋体" w:hAnsi="宋体" w:eastAsia="宋体" w:cs="宋体"/>
        </w:rPr>
        <w:t>④</w:t>
      </w:r>
      <w:r>
        <w:rPr>
          <w:rFonts w:ascii="Times New Roman" w:hAnsi="Times New Roman" w:cs="Times New Roman"/>
        </w:rPr>
        <w:t>只要改善员工福利，就能增强企业竞争力</w:t>
      </w:r>
    </w:p>
    <w:p w14:paraId="17246147">
      <w:pPr>
        <w:spacing w:line="360" w:lineRule="auto"/>
        <w:ind w:left="315"/>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②④</w:t>
      </w:r>
    </w:p>
    <w:p w14:paraId="661CDDE9">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【答案】A</w:t>
      </w:r>
    </w:p>
    <w:p w14:paraId="690AD35F">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：实体超市重视产品质量和员工福利，与消费者建立了信任关系，从而逆势“出圈”，生意火爆。这表明企业积累起来的信誉能够吸引消费者，为企业带来效益，是企业的无形资产，</w:t>
      </w:r>
      <w:r>
        <w:rPr>
          <w:rFonts w:hint="eastAsia" w:ascii="宋体" w:hAnsi="宋体" w:eastAsia="宋体" w:cs="宋体"/>
          <w:color w:val="FF0000"/>
        </w:rPr>
        <w:t>①</w:t>
      </w:r>
      <w:r>
        <w:rPr>
          <w:rFonts w:ascii="Times New Roman" w:hAnsi="Times New Roman" w:cs="Times New Roman"/>
          <w:color w:val="FF0000"/>
        </w:rPr>
        <w:t xml:space="preserve">正确。 </w:t>
      </w:r>
    </w:p>
    <w:p w14:paraId="3CAFCD6B">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：材料强调市场在该实体超市生意火爆中的作用，未涉及政府，</w:t>
      </w:r>
      <w:r>
        <w:rPr>
          <w:rFonts w:hint="eastAsia" w:ascii="宋体" w:hAnsi="宋体" w:eastAsia="宋体" w:cs="宋体"/>
          <w:color w:val="FF0000"/>
        </w:rPr>
        <w:t>②</w:t>
      </w:r>
      <w:r>
        <w:rPr>
          <w:rFonts w:ascii="Times New Roman" w:hAnsi="Times New Roman" w:cs="Times New Roman"/>
          <w:color w:val="FF0000"/>
        </w:rPr>
        <w:t xml:space="preserve">排除。 </w:t>
      </w:r>
    </w:p>
    <w:p w14:paraId="7CF49D9C">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：该超市因为与消费者建立信任关系，消费者认可其经营模式和产品服务，才使得超市生意火爆，体现出该零售企业生意火爆是消费者选择的结果，</w:t>
      </w:r>
      <w:r>
        <w:rPr>
          <w:rFonts w:hint="eastAsia" w:ascii="宋体" w:hAnsi="宋体" w:eastAsia="宋体" w:cs="宋体"/>
          <w:color w:val="FF0000"/>
        </w:rPr>
        <w:t>③</w:t>
      </w:r>
      <w:r>
        <w:rPr>
          <w:rFonts w:ascii="Times New Roman" w:hAnsi="Times New Roman" w:cs="Times New Roman"/>
          <w:color w:val="FF0000"/>
        </w:rPr>
        <w:t xml:space="preserve">正确。 </w:t>
      </w:r>
    </w:p>
    <w:p w14:paraId="19084003">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：“只要改善员工福利，就能增强企业竞争力”说法过于绝对，改善员工福利是增强企业竞争力的充分条件，而不是必要条件，</w:t>
      </w:r>
      <w:r>
        <w:rPr>
          <w:rFonts w:hint="eastAsia" w:ascii="宋体" w:hAnsi="宋体" w:eastAsia="宋体" w:cs="宋体"/>
          <w:color w:val="FF0000"/>
        </w:rPr>
        <w:t>④</w:t>
      </w:r>
      <w:r>
        <w:rPr>
          <w:rFonts w:ascii="Times New Roman" w:hAnsi="Times New Roman" w:cs="Times New Roman"/>
          <w:color w:val="FF0000"/>
        </w:rPr>
        <w:t>排除。</w:t>
      </w:r>
    </w:p>
    <w:p w14:paraId="71F797C2">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故本题选A。</w:t>
      </w:r>
    </w:p>
    <w:p w14:paraId="26220ABD">
      <w:pPr>
        <w:spacing w:line="360" w:lineRule="auto"/>
        <w:ind w:left="315" w:hanging="315"/>
        <w:jc w:val="left"/>
        <w:textAlignment w:val="center"/>
        <w:rPr>
          <w:rFonts w:ascii="Times New Roman" w:hAnsi="Times New Roman" w:cs="Times New Roman"/>
        </w:rPr>
      </w:pPr>
      <w:r>
        <w:rPr>
          <w:rFonts w:ascii="Times New Roman" w:hAnsi="Times New Roman" w:cs="Times New Roman"/>
        </w:rPr>
        <w:t>4．数字技术进步为经济发展增添了新动能，也带来诸如互联网平台垄断、隐私信息安全、限制数据共享等治理难题。面对此类挑战，政府应当采取的措施有（</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1A66B747">
      <w:pPr>
        <w:spacing w:line="360" w:lineRule="auto"/>
        <w:ind w:left="315"/>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转变企业经营理念</w:t>
      </w:r>
    </w:p>
    <w:p w14:paraId="78EF5DE6">
      <w:pPr>
        <w:spacing w:line="360" w:lineRule="auto"/>
        <w:ind w:left="315"/>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推动企业兼并重组</w:t>
      </w:r>
    </w:p>
    <w:p w14:paraId="2FDA6E12">
      <w:pPr>
        <w:spacing w:line="360" w:lineRule="auto"/>
        <w:ind w:left="315"/>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加强企业行为监管</w:t>
      </w:r>
    </w:p>
    <w:p w14:paraId="391728FC">
      <w:pPr>
        <w:spacing w:line="360" w:lineRule="auto"/>
        <w:ind w:left="315"/>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依法依规进行处罚</w:t>
      </w:r>
    </w:p>
    <w:p w14:paraId="5833025F">
      <w:pPr>
        <w:spacing w:line="360" w:lineRule="auto"/>
        <w:ind w:left="315"/>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②④</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0E290DBD">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【答案】D</w:t>
      </w:r>
    </w:p>
    <w:p w14:paraId="70CF1580">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③④</w:t>
      </w:r>
      <w:r>
        <w:rPr>
          <w:rFonts w:ascii="Times New Roman" w:hAnsi="Times New Roman" w:cs="Times New Roman"/>
          <w:color w:val="FF0000"/>
        </w:rPr>
        <w:t>：科学的宏观调控、有效的政府治理是社会主义市场经济体制优势的内在要求。数字技术进步带来诸如互联网平台垄断、隐私信息安全、限制数据共享等治理难题，需要政府加强企业行为监管，依法依规进行处罚，以规范市场秩序，保障公平竞争，保护人民合法利益，弥补市场缺陷，</w:t>
      </w:r>
      <w:r>
        <w:rPr>
          <w:rFonts w:hint="eastAsia" w:ascii="宋体" w:hAnsi="宋体" w:eastAsia="宋体" w:cs="宋体"/>
          <w:color w:val="FF0000"/>
        </w:rPr>
        <w:t>③④</w:t>
      </w:r>
      <w:r>
        <w:rPr>
          <w:rFonts w:ascii="Times New Roman" w:hAnsi="Times New Roman" w:cs="Times New Roman"/>
          <w:color w:val="FF0000"/>
        </w:rPr>
        <w:t>符合题意。</w:t>
      </w:r>
    </w:p>
    <w:p w14:paraId="4B88F105">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①</w:t>
      </w:r>
      <w:r>
        <w:rPr>
          <w:rFonts w:ascii="Times New Roman" w:hAnsi="Times New Roman" w:cs="Times New Roman"/>
          <w:color w:val="FF0000"/>
        </w:rPr>
        <w:t>：本项是企业的做法，而题意是政府应采取的措施，</w:t>
      </w:r>
      <w:r>
        <w:rPr>
          <w:rFonts w:hint="eastAsia" w:ascii="宋体" w:hAnsi="宋体" w:eastAsia="宋体" w:cs="宋体"/>
          <w:color w:val="FF0000"/>
        </w:rPr>
        <w:t>①</w:t>
      </w:r>
      <w:r>
        <w:rPr>
          <w:rFonts w:ascii="Times New Roman" w:hAnsi="Times New Roman" w:cs="Times New Roman"/>
          <w:color w:val="FF0000"/>
        </w:rPr>
        <w:t>不符合题意。</w:t>
      </w:r>
    </w:p>
    <w:p w14:paraId="110B0EBF">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：推动企业兼并重组并不能解决材料中的挑战，</w:t>
      </w:r>
      <w:r>
        <w:rPr>
          <w:rFonts w:hint="eastAsia" w:ascii="宋体" w:hAnsi="宋体" w:eastAsia="宋体" w:cs="宋体"/>
          <w:color w:val="FF0000"/>
        </w:rPr>
        <w:t>②</w:t>
      </w:r>
      <w:r>
        <w:rPr>
          <w:rFonts w:ascii="Times New Roman" w:hAnsi="Times New Roman" w:cs="Times New Roman"/>
          <w:color w:val="FF0000"/>
        </w:rPr>
        <w:t>排除。</w:t>
      </w:r>
    </w:p>
    <w:p w14:paraId="2DA894A1">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故本题选D。</w:t>
      </w:r>
    </w:p>
    <w:p w14:paraId="17222625">
      <w:pPr>
        <w:spacing w:line="360" w:lineRule="auto"/>
        <w:ind w:left="315" w:hanging="315"/>
        <w:jc w:val="left"/>
        <w:textAlignment w:val="center"/>
        <w:rPr>
          <w:rFonts w:ascii="Times New Roman" w:hAnsi="Times New Roman" w:cs="Times New Roman"/>
        </w:rPr>
      </w:pPr>
      <w:r>
        <w:rPr>
          <w:rFonts w:ascii="Times New Roman" w:hAnsi="Times New Roman" w:cs="Times New Roman"/>
        </w:rPr>
        <w:t>5．农产品直播间里吆喝声不断，带火了“土特产”。然而，一些消费者反映，有的与商品介绍“货不对板”，主播可能虚假宣传甚至制假售假；有的包装上没有标明生产日期和配料表等信息，无法追溯产品来源……这些乱象（</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3AAC037F">
      <w:pPr>
        <w:spacing w:line="360" w:lineRule="auto"/>
        <w:ind w:left="315"/>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是市场自发调节的必然结果</w:t>
      </w:r>
    </w:p>
    <w:p w14:paraId="1F815DF6">
      <w:pPr>
        <w:spacing w:line="360" w:lineRule="auto"/>
        <w:ind w:left="315"/>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说明资源配置有待优化</w:t>
      </w:r>
    </w:p>
    <w:p w14:paraId="5780A8BF">
      <w:pPr>
        <w:spacing w:line="360" w:lineRule="auto"/>
        <w:ind w:left="315"/>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说明市场秩序有待规范</w:t>
      </w:r>
    </w:p>
    <w:p w14:paraId="5A5B613C">
      <w:pPr>
        <w:spacing w:line="360" w:lineRule="auto"/>
        <w:ind w:left="315"/>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必须由政府干预来解决</w:t>
      </w:r>
    </w:p>
    <w:p w14:paraId="77196D0F">
      <w:pPr>
        <w:spacing w:line="360" w:lineRule="auto"/>
        <w:ind w:left="315"/>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786A11B6">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【答案】C</w:t>
      </w:r>
    </w:p>
    <w:p w14:paraId="3208252A">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：市场自发调节可能会出现这些乱象，但这不是必然结果，通过加强监管等手段可以避免或减少，</w:t>
      </w:r>
      <w:r>
        <w:rPr>
          <w:rFonts w:hint="eastAsia" w:ascii="宋体" w:hAnsi="宋体" w:eastAsia="宋体" w:cs="宋体"/>
          <w:color w:val="FF0000"/>
        </w:rPr>
        <w:t>①</w:t>
      </w:r>
      <w:r>
        <w:rPr>
          <w:rFonts w:ascii="Times New Roman" w:hAnsi="Times New Roman" w:cs="Times New Roman"/>
          <w:color w:val="FF0000"/>
        </w:rPr>
        <w:t>排除。</w:t>
      </w:r>
    </w:p>
    <w:p w14:paraId="2AFD9096">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：这些乱象表明市场中资源配置存在不合理情况，有待优化，</w:t>
      </w:r>
      <w:r>
        <w:rPr>
          <w:rFonts w:hint="eastAsia" w:ascii="宋体" w:hAnsi="宋体" w:eastAsia="宋体" w:cs="宋体"/>
          <w:color w:val="FF0000"/>
        </w:rPr>
        <w:t>②</w:t>
      </w:r>
      <w:r>
        <w:rPr>
          <w:rFonts w:ascii="Times New Roman" w:hAnsi="Times New Roman" w:cs="Times New Roman"/>
          <w:color w:val="FF0000"/>
        </w:rPr>
        <w:t>正确。</w:t>
      </w:r>
    </w:p>
    <w:p w14:paraId="2425BDFF">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：虚假宣传、制假售假、产品信息不明确等问题说明市场秩序不规范，有待整治，</w:t>
      </w:r>
      <w:r>
        <w:rPr>
          <w:rFonts w:hint="eastAsia" w:ascii="宋体" w:hAnsi="宋体" w:eastAsia="宋体" w:cs="宋体"/>
          <w:color w:val="FF0000"/>
        </w:rPr>
        <w:t>③</w:t>
      </w:r>
      <w:r>
        <w:rPr>
          <w:rFonts w:ascii="Times New Roman" w:hAnsi="Times New Roman" w:cs="Times New Roman"/>
          <w:color w:val="FF0000"/>
        </w:rPr>
        <w:t>正确。</w:t>
      </w:r>
    </w:p>
    <w:p w14:paraId="05FA8FF7">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：解决这些问题需要政府、市场主体、消费者等多方共同努力，并非必须由政府单独干预解决，</w:t>
      </w:r>
      <w:r>
        <w:rPr>
          <w:rFonts w:hint="eastAsia" w:ascii="宋体" w:hAnsi="宋体" w:eastAsia="宋体" w:cs="宋体"/>
          <w:color w:val="FF0000"/>
        </w:rPr>
        <w:t>④</w:t>
      </w:r>
      <w:r>
        <w:rPr>
          <w:rFonts w:ascii="Times New Roman" w:hAnsi="Times New Roman" w:cs="Times New Roman"/>
          <w:color w:val="FF0000"/>
        </w:rPr>
        <w:t>排除。</w:t>
      </w:r>
    </w:p>
    <w:p w14:paraId="67F208BC">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故本题选C。</w:t>
      </w:r>
    </w:p>
    <w:p w14:paraId="486CCA37">
      <w:pPr>
        <w:spacing w:line="360" w:lineRule="auto"/>
        <w:ind w:left="315" w:hanging="315"/>
        <w:jc w:val="left"/>
        <w:textAlignment w:val="center"/>
        <w:rPr>
          <w:rFonts w:ascii="Times New Roman" w:hAnsi="Times New Roman" w:cs="Times New Roman"/>
        </w:rPr>
      </w:pPr>
      <w:r>
        <w:rPr>
          <w:rFonts w:ascii="Times New Roman" w:hAnsi="Times New Roman" w:cs="Times New Roman"/>
        </w:rPr>
        <w:t>6．今年以来，为应对美国加征关税等外部风险挑战，有关行政部门出台帮助外贸企业拓内销、加快内外贸一体化的“一揽子”政策，对受到关税影响较大的企业在市场渠道、国内消费、服务保障等方面加强支持。这些举措（</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2AAA531D">
      <w:pPr>
        <w:spacing w:line="360" w:lineRule="auto"/>
        <w:ind w:left="315"/>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是宏观调控最常用的经济手段</w:t>
      </w:r>
    </w:p>
    <w:p w14:paraId="2033B0ED">
      <w:pPr>
        <w:spacing w:line="360" w:lineRule="auto"/>
        <w:ind w:left="315"/>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有助于保持经济总量平衡</w:t>
      </w:r>
    </w:p>
    <w:p w14:paraId="26F26087">
      <w:pPr>
        <w:spacing w:line="360" w:lineRule="auto"/>
        <w:ind w:left="315"/>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体现了我国政府的经济职能</w:t>
      </w:r>
    </w:p>
    <w:p w14:paraId="43472186">
      <w:pPr>
        <w:spacing w:line="360" w:lineRule="auto"/>
        <w:ind w:left="315"/>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完善了社会主义市场经济体制</w:t>
      </w:r>
    </w:p>
    <w:p w14:paraId="621E5EE9">
      <w:pPr>
        <w:spacing w:line="360" w:lineRule="auto"/>
        <w:ind w:left="315"/>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7E76C953">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【答案】C</w:t>
      </w:r>
    </w:p>
    <w:p w14:paraId="55914E99">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：宏观调控最常用的经济手段是财政政策和货币政策。题干中的举措并非“最常用”的经济手段，</w:t>
      </w:r>
      <w:r>
        <w:rPr>
          <w:rFonts w:hint="eastAsia" w:ascii="宋体" w:hAnsi="宋体" w:eastAsia="宋体" w:cs="宋体"/>
          <w:color w:val="FF0000"/>
        </w:rPr>
        <w:t>①</w:t>
      </w:r>
      <w:r>
        <w:rPr>
          <w:rFonts w:ascii="Times New Roman" w:hAnsi="Times New Roman" w:cs="Times New Roman"/>
          <w:color w:val="FF0000"/>
        </w:rPr>
        <w:t>排除。</w:t>
      </w:r>
    </w:p>
    <w:p w14:paraId="21D249FB">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：政策通过“拓内销”扩大内需，将外部冲击（如关税影响）转化为国内消费动力，有助于缓解外贸下滑、稳定总供给与总需求，从而维护经济总量平衡，</w:t>
      </w:r>
      <w:r>
        <w:rPr>
          <w:rFonts w:hint="eastAsia" w:ascii="宋体" w:hAnsi="宋体" w:eastAsia="宋体" w:cs="宋体"/>
          <w:color w:val="FF0000"/>
        </w:rPr>
        <w:t>②</w:t>
      </w:r>
      <w:r>
        <w:rPr>
          <w:rFonts w:ascii="Times New Roman" w:hAnsi="Times New Roman" w:cs="Times New Roman"/>
          <w:color w:val="FF0000"/>
        </w:rPr>
        <w:t>正确。</w:t>
      </w:r>
    </w:p>
    <w:p w14:paraId="11393AB9">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政府的经济职能包括宏观调控、市场监管和公共服务等。题干中行政部门出台政策支持企业应对风险，对受到关税影响较大的企业在市场渠道、国内消费、服务保障等方面加强支持，正是履行“经济调节”和“公共服务”职能的体现，</w:t>
      </w:r>
      <w:r>
        <w:rPr>
          <w:rFonts w:hint="eastAsia" w:ascii="宋体" w:hAnsi="宋体" w:eastAsia="宋体" w:cs="宋体"/>
          <w:color w:val="FF0000"/>
        </w:rPr>
        <w:t>③</w:t>
      </w:r>
      <w:r>
        <w:rPr>
          <w:rFonts w:ascii="Times New Roman" w:hAnsi="Times New Roman" w:cs="Times New Roman"/>
          <w:color w:val="FF0000"/>
        </w:rPr>
        <w:t>正确。</w:t>
      </w:r>
    </w:p>
    <w:p w14:paraId="22EC7079">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：该政策是应对短期外部风险的临时性措施，并未涉及制度性改革（如产权保护、市场规则等），因此不属于“完善体制”的范畴，</w:t>
      </w:r>
      <w:r>
        <w:rPr>
          <w:rFonts w:hint="eastAsia" w:ascii="宋体" w:hAnsi="宋体" w:eastAsia="宋体" w:cs="宋体"/>
          <w:color w:val="FF0000"/>
        </w:rPr>
        <w:t>④</w:t>
      </w:r>
      <w:r>
        <w:rPr>
          <w:rFonts w:ascii="Times New Roman" w:hAnsi="Times New Roman" w:cs="Times New Roman"/>
          <w:color w:val="FF0000"/>
        </w:rPr>
        <w:t>不符合题意。</w:t>
      </w:r>
    </w:p>
    <w:p w14:paraId="174D827A">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故本题选C。</w:t>
      </w:r>
    </w:p>
    <w:p w14:paraId="73B50BD6">
      <w:pPr>
        <w:spacing w:line="360" w:lineRule="auto"/>
        <w:ind w:left="315" w:hanging="315"/>
        <w:jc w:val="left"/>
        <w:textAlignment w:val="center"/>
        <w:rPr>
          <w:rFonts w:ascii="Times New Roman" w:hAnsi="Times New Roman" w:cs="Times New Roman"/>
        </w:rPr>
      </w:pPr>
      <w:r>
        <w:rPr>
          <w:rFonts w:ascii="Times New Roman" w:hAnsi="Times New Roman" w:cs="Times New Roman"/>
        </w:rPr>
        <w:t>7．下图为2023年我国各大地区对外贸易增长情况</w:t>
      </w:r>
    </w:p>
    <w:p w14:paraId="291EFCF6">
      <w:pPr>
        <w:spacing w:line="360" w:lineRule="auto"/>
        <w:ind w:left="315"/>
        <w:jc w:val="center"/>
        <w:textAlignment w:val="center"/>
        <w:rPr>
          <w:rFonts w:ascii="Times New Roman" w:hAnsi="Times New Roman" w:cs="Times New Roman"/>
        </w:rPr>
      </w:pPr>
      <w:r>
        <w:rPr>
          <w:rFonts w:ascii="Times New Roman" w:hAnsi="Times New Roman" w:eastAsia="Times New Roman" w:cs="Times New Roman"/>
          <w:kern w:val="0"/>
          <w:sz w:val="24"/>
          <w:szCs w:val="24"/>
        </w:rPr>
        <w:drawing>
          <wp:inline distT="0" distB="0" distL="114300" distR="114300">
            <wp:extent cx="4162425" cy="1876425"/>
            <wp:effectExtent l="0" t="0" r="13335" b="13335"/>
            <wp:docPr id="100003" name="图片 100003" descr="学科网 tzp+jWwOwd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 tzp+jWwOwdDNAx1ODbqMbQ=="/>
                    <pic:cNvPicPr>
                      <a:picLocks noChangeAspect="1"/>
                    </pic:cNvPicPr>
                  </pic:nvPicPr>
                  <pic:blipFill>
                    <a:blip r:embed="rId11"/>
                    <a:stretch>
                      <a:fillRect/>
                    </a:stretch>
                  </pic:blipFill>
                  <pic:spPr>
                    <a:xfrm>
                      <a:off x="0" y="0"/>
                      <a:ext cx="4162425" cy="1876425"/>
                    </a:xfrm>
                    <a:prstGeom prst="rect">
                      <a:avLst/>
                    </a:prstGeom>
                  </pic:spPr>
                </pic:pic>
              </a:graphicData>
            </a:graphic>
          </wp:inline>
        </w:drawing>
      </w:r>
    </w:p>
    <w:p w14:paraId="7BF8E84C">
      <w:pPr>
        <w:spacing w:line="360" w:lineRule="auto"/>
        <w:ind w:left="315"/>
        <w:jc w:val="left"/>
        <w:textAlignment w:val="center"/>
        <w:rPr>
          <w:rFonts w:ascii="Times New Roman" w:hAnsi="Times New Roman" w:cs="Times New Roman"/>
        </w:rPr>
      </w:pPr>
      <w:r>
        <w:rPr>
          <w:rFonts w:ascii="Times New Roman" w:hAnsi="Times New Roman" w:cs="Times New Roman"/>
        </w:rPr>
        <w:t>由上图信息可以推知（</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60653EB9">
      <w:pPr>
        <w:spacing w:line="360" w:lineRule="auto"/>
        <w:ind w:left="315"/>
        <w:jc w:val="left"/>
        <w:textAlignment w:val="center"/>
        <w:rPr>
          <w:rFonts w:ascii="Times New Roman" w:hAnsi="Times New Roman" w:cs="Times New Roman"/>
        </w:rPr>
      </w:pPr>
      <w:r>
        <w:rPr>
          <w:rFonts w:ascii="Times New Roman" w:hAnsi="Times New Roman" w:cs="Times New Roman"/>
        </w:rPr>
        <w:t>A．东部地区进出口总额增速大于中部地区进出口总额增速</w:t>
      </w:r>
    </w:p>
    <w:p w14:paraId="761C15ED">
      <w:pPr>
        <w:spacing w:line="360" w:lineRule="auto"/>
        <w:ind w:left="315"/>
        <w:jc w:val="left"/>
        <w:textAlignment w:val="center"/>
        <w:rPr>
          <w:rFonts w:ascii="Times New Roman" w:hAnsi="Times New Roman" w:cs="Times New Roman"/>
        </w:rPr>
      </w:pPr>
      <w:r>
        <w:rPr>
          <w:rFonts w:ascii="Times New Roman" w:hAnsi="Times New Roman" w:cs="Times New Roman"/>
        </w:rPr>
        <w:t>B．东部地区进出口总额增速大于西部地区进出口总额增速</w:t>
      </w:r>
    </w:p>
    <w:p w14:paraId="40C1BD1C">
      <w:pPr>
        <w:spacing w:line="360" w:lineRule="auto"/>
        <w:ind w:left="315"/>
        <w:jc w:val="left"/>
        <w:textAlignment w:val="center"/>
        <w:rPr>
          <w:rFonts w:ascii="Times New Roman" w:hAnsi="Times New Roman" w:cs="Times New Roman"/>
        </w:rPr>
      </w:pPr>
      <w:r>
        <w:rPr>
          <w:rFonts w:ascii="Times New Roman" w:hAnsi="Times New Roman" w:cs="Times New Roman"/>
        </w:rPr>
        <w:t>C．东部地区比中部地区更好地贯彻了开放发展理念</w:t>
      </w:r>
    </w:p>
    <w:p w14:paraId="7CF7B6E4">
      <w:pPr>
        <w:spacing w:line="360" w:lineRule="auto"/>
        <w:ind w:left="315"/>
        <w:jc w:val="left"/>
        <w:textAlignment w:val="center"/>
        <w:rPr>
          <w:rFonts w:ascii="Times New Roman" w:hAnsi="Times New Roman" w:cs="Times New Roman"/>
        </w:rPr>
      </w:pPr>
      <w:r>
        <w:rPr>
          <w:rFonts w:ascii="Times New Roman" w:hAnsi="Times New Roman" w:cs="Times New Roman"/>
        </w:rPr>
        <w:t>D．东北地区比西部地区更好地贯彻了开放发展理念</w:t>
      </w:r>
    </w:p>
    <w:p w14:paraId="58AFC0C9">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【答案】B</w:t>
      </w:r>
    </w:p>
    <w:p w14:paraId="22E2C673">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【详解】A：东部地区出口正增长、进口高增长；中部地区出口负增长（且降幅较大）、进口正增长。综合来看，东部地区进出口总额增速不一定大于中部地区，A排除。</w:t>
      </w:r>
    </w:p>
    <w:p w14:paraId="5520E85C">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 xml:space="preserve">B：东部地区出口、进口均为正增长；西部地区出口几乎零增长、进口负增长。因此东部地区进出口总额增速大于西部地区，B正确。 </w:t>
      </w:r>
    </w:p>
    <w:p w14:paraId="2D5D9EB7">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 xml:space="preserve">C：开放发展理念不仅仅体现在贸易增速上，还涉及贸易结构、贸易创新等多个方面，仅从2023年一年的对外贸易增长情况，不能得出东部地区比中部地区更好地贯彻了开放发展理念，C排除。 </w:t>
      </w:r>
    </w:p>
    <w:p w14:paraId="0192E9B0">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D：东北地区出口正增长但进口负增长，西部地区出口几乎零增长、进口负增长，无法得出东北地区比西部地区更好贯彻开放发展理念的结论。而且仅依据2023年一年的对外贸易增长数据，不能判定东北地区比西部地区更好地贯彻了开放发展理念，D排除。</w:t>
      </w:r>
    </w:p>
    <w:p w14:paraId="668A47F1">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故本题选B。</w:t>
      </w:r>
    </w:p>
    <w:p w14:paraId="584B0F4C">
      <w:pPr>
        <w:spacing w:line="360" w:lineRule="auto"/>
        <w:ind w:left="315" w:hanging="315"/>
        <w:jc w:val="left"/>
        <w:textAlignment w:val="center"/>
        <w:rPr>
          <w:rFonts w:ascii="Times New Roman" w:hAnsi="Times New Roman" w:cs="Times New Roman"/>
        </w:rPr>
      </w:pPr>
      <w:r>
        <w:rPr>
          <w:rFonts w:ascii="Times New Roman" w:hAnsi="Times New Roman" w:cs="Times New Roman"/>
        </w:rPr>
        <w:t>8．国外某汽车公司的上海超级工厂建成以来，不断扩大与本土供应商伙伴的深度合作，带动上下游企业共同发展。截至2023年12月，该工厂零部件本土化率已超95%，本土一级供应商超过400家。这说明（</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230DA597">
      <w:pPr>
        <w:spacing w:line="360" w:lineRule="auto"/>
        <w:ind w:left="315"/>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深度参与国际分工能够优化资源配置</w:t>
      </w:r>
    </w:p>
    <w:p w14:paraId="474442DE">
      <w:pPr>
        <w:spacing w:line="360" w:lineRule="auto"/>
        <w:ind w:left="315"/>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扩大生产合作是开放发展的主要方向</w:t>
      </w:r>
    </w:p>
    <w:p w14:paraId="245BD51F">
      <w:pPr>
        <w:spacing w:line="360" w:lineRule="auto"/>
        <w:ind w:left="315"/>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内外联动有助于推动经济繁荣发展</w:t>
      </w:r>
    </w:p>
    <w:p w14:paraId="780B8986">
      <w:pPr>
        <w:spacing w:line="360" w:lineRule="auto"/>
        <w:ind w:left="315"/>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扩大生产合作需要提高本土厂商在生产链中的占比</w:t>
      </w:r>
    </w:p>
    <w:p w14:paraId="514E1600">
      <w:pPr>
        <w:spacing w:line="360" w:lineRule="auto"/>
        <w:ind w:left="315"/>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②④</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72ACDD8E">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【答案】B</w:t>
      </w:r>
    </w:p>
    <w:p w14:paraId="26352FDC">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：截至2023年12月，该工厂零部件本土化率已超95%，本土一级供应商超过400家。这说明深度参与国际分工能够优化资源配置，</w:t>
      </w:r>
      <w:r>
        <w:rPr>
          <w:rFonts w:hint="eastAsia" w:ascii="宋体" w:hAnsi="宋体" w:eastAsia="宋体" w:cs="宋体"/>
          <w:color w:val="FF0000"/>
        </w:rPr>
        <w:t>①</w:t>
      </w:r>
      <w:r>
        <w:rPr>
          <w:rFonts w:ascii="Times New Roman" w:hAnsi="Times New Roman" w:cs="Times New Roman"/>
          <w:color w:val="FF0000"/>
        </w:rPr>
        <w:t>正确，</w:t>
      </w:r>
    </w:p>
    <w:p w14:paraId="2B50F69E">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：开放发展的主要方向是积极拓展进口，提升国际竞争力，营造公平的营商环境，积极参与全球治理，而不是扩大生产合作，</w:t>
      </w:r>
      <w:r>
        <w:rPr>
          <w:rFonts w:hint="eastAsia" w:ascii="宋体" w:hAnsi="宋体" w:eastAsia="宋体" w:cs="宋体"/>
          <w:color w:val="FF0000"/>
        </w:rPr>
        <w:t>②</w:t>
      </w:r>
      <w:r>
        <w:rPr>
          <w:rFonts w:ascii="Times New Roman" w:hAnsi="Times New Roman" w:cs="Times New Roman"/>
          <w:color w:val="FF0000"/>
        </w:rPr>
        <w:t>错误。</w:t>
      </w:r>
    </w:p>
    <w:p w14:paraId="1AEF749D">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：国外某汽车公司的上海超级工厂建成以来，不断扩大与本土供应商伙伴的深度合作，带动上下游企业共同发展。这说明内外联动有助于推动经济繁荣发展，</w:t>
      </w:r>
      <w:r>
        <w:rPr>
          <w:rFonts w:hint="eastAsia" w:ascii="宋体" w:hAnsi="宋体" w:eastAsia="宋体" w:cs="宋体"/>
          <w:color w:val="FF0000"/>
        </w:rPr>
        <w:t>③</w:t>
      </w:r>
      <w:r>
        <w:rPr>
          <w:rFonts w:ascii="Times New Roman" w:hAnsi="Times New Roman" w:cs="Times New Roman"/>
          <w:color w:val="FF0000"/>
        </w:rPr>
        <w:t>正确。</w:t>
      </w:r>
    </w:p>
    <w:p w14:paraId="720265B3">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：扩大生产合作不需要提高本土厂商在生产链中的占比，而要提高资源配置效率，</w:t>
      </w:r>
      <w:r>
        <w:rPr>
          <w:rFonts w:hint="eastAsia" w:ascii="宋体" w:hAnsi="宋体" w:eastAsia="宋体" w:cs="宋体"/>
          <w:color w:val="FF0000"/>
        </w:rPr>
        <w:t>④</w:t>
      </w:r>
      <w:r>
        <w:rPr>
          <w:rFonts w:ascii="Times New Roman" w:hAnsi="Times New Roman" w:cs="Times New Roman"/>
          <w:color w:val="FF0000"/>
        </w:rPr>
        <w:t>错误。</w:t>
      </w:r>
    </w:p>
    <w:p w14:paraId="6B215654">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故本题选B。</w:t>
      </w:r>
    </w:p>
    <w:p w14:paraId="4B834247">
      <w:pPr>
        <w:spacing w:line="360" w:lineRule="auto"/>
        <w:ind w:left="315" w:hanging="315"/>
        <w:jc w:val="left"/>
        <w:textAlignment w:val="center"/>
        <w:rPr>
          <w:rFonts w:ascii="Times New Roman" w:hAnsi="Times New Roman" w:cs="Times New Roman"/>
        </w:rPr>
      </w:pPr>
      <w:r>
        <w:rPr>
          <w:rFonts w:ascii="Times New Roman" w:hAnsi="Times New Roman" w:cs="Times New Roman"/>
        </w:rPr>
        <w:t>9．当前，新技术革命风起云涌，催生出许多新行业和新业态，让生产生活变得更加自动化、智能化，对教育、医疗、养老等方面的影响也日益深化。新技术革命（</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7B75C591">
      <w:pPr>
        <w:spacing w:line="360" w:lineRule="auto"/>
        <w:ind w:left="315"/>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让教育失去公共产品属性</w:t>
      </w:r>
      <w:r>
        <w:rPr>
          <w:rFonts w:ascii="Times New Roman" w:hAnsi="Times New Roman" w:eastAsia="Times New Roman" w:cs="Times New Roman"/>
          <w:kern w:val="0"/>
          <w:sz w:val="24"/>
          <w:szCs w:val="24"/>
        </w:rPr>
        <w:t xml:space="preserve">        </w:t>
      </w:r>
      <w:r>
        <w:rPr>
          <w:rFonts w:hint="eastAsia" w:ascii="宋体" w:hAnsi="宋体" w:eastAsia="宋体" w:cs="宋体"/>
        </w:rPr>
        <w:t>②</w:t>
      </w:r>
      <w:r>
        <w:rPr>
          <w:rFonts w:ascii="Times New Roman" w:hAnsi="Times New Roman" w:cs="Times New Roman"/>
        </w:rPr>
        <w:t>必然导致各种就业岗位数量减少</w:t>
      </w:r>
    </w:p>
    <w:p w14:paraId="50F80923">
      <w:pPr>
        <w:spacing w:line="360" w:lineRule="auto"/>
        <w:ind w:left="315"/>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提高了劳动生产率</w:t>
      </w:r>
      <w:r>
        <w:rPr>
          <w:rFonts w:ascii="Times New Roman" w:hAnsi="Times New Roman" w:eastAsia="Times New Roman" w:cs="Times New Roman"/>
          <w:kern w:val="0"/>
          <w:sz w:val="24"/>
          <w:szCs w:val="24"/>
        </w:rPr>
        <w:t xml:space="preserve">              </w:t>
      </w:r>
      <w:r>
        <w:rPr>
          <w:rFonts w:hint="eastAsia" w:ascii="宋体" w:hAnsi="宋体" w:eastAsia="宋体" w:cs="宋体"/>
        </w:rPr>
        <w:t>④</w:t>
      </w:r>
      <w:r>
        <w:rPr>
          <w:rFonts w:ascii="Times New Roman" w:hAnsi="Times New Roman" w:cs="Times New Roman"/>
        </w:rPr>
        <w:t>有助于加快推进新型工业化建设</w:t>
      </w:r>
    </w:p>
    <w:p w14:paraId="64B9A7AF">
      <w:pPr>
        <w:spacing w:line="360" w:lineRule="auto"/>
        <w:ind w:left="315"/>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4D831317">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【答案】D</w:t>
      </w:r>
    </w:p>
    <w:p w14:paraId="51685CF1">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教育的公共产品属性‌是指教育作为一种服务或产品，具有非排他性和非竞争性的特征，是由其本身的社会功能和价值决定的，旨在提高国民素质、促进社会公平和发展。新技术革命虽然会改变教育的方式和手段，但不会改变教育作为公共产品的本质属性，它依然是为了满足社会大众的共同需求，由政府或社会力量提供的具有非排他性和非竞争性的产品，</w:t>
      </w:r>
      <w:r>
        <w:rPr>
          <w:rFonts w:hint="eastAsia" w:ascii="宋体" w:hAnsi="宋体" w:eastAsia="宋体" w:cs="宋体"/>
          <w:color w:val="FF0000"/>
        </w:rPr>
        <w:t>①</w:t>
      </w:r>
      <w:r>
        <w:rPr>
          <w:rFonts w:ascii="Times New Roman" w:hAnsi="Times New Roman" w:cs="Times New Roman"/>
          <w:color w:val="FF0000"/>
        </w:rPr>
        <w:t>错误。</w:t>
      </w:r>
    </w:p>
    <w:p w14:paraId="3B9DC48B">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新技术革命的出现，让生产生活变得更加自动化、智能化，确实会使一些传统岗位受到冲击。然而，新技术革命同时也催生了大量新的就业岗位。所以不能简单地认为新技术革命必然导致各种就业岗位数量减少，</w:t>
      </w:r>
      <w:r>
        <w:rPr>
          <w:rFonts w:hint="eastAsia" w:ascii="宋体" w:hAnsi="宋体" w:eastAsia="宋体" w:cs="宋体"/>
          <w:color w:val="FF0000"/>
        </w:rPr>
        <w:t>②</w:t>
      </w:r>
      <w:r>
        <w:rPr>
          <w:rFonts w:ascii="Times New Roman" w:hAnsi="Times New Roman" w:cs="Times New Roman"/>
          <w:color w:val="FF0000"/>
        </w:rPr>
        <w:t>错误。</w:t>
      </w:r>
    </w:p>
    <w:p w14:paraId="6D9AAA53">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：新技术革命让生产生活变得更加自动化、智能化，有助于优化资源配置，提高劳动生产率，</w:t>
      </w:r>
      <w:r>
        <w:rPr>
          <w:rFonts w:hint="eastAsia" w:ascii="宋体" w:hAnsi="宋体" w:eastAsia="宋体" w:cs="宋体"/>
          <w:color w:val="FF0000"/>
        </w:rPr>
        <w:t>③</w:t>
      </w:r>
      <w:r>
        <w:rPr>
          <w:rFonts w:ascii="Times New Roman" w:hAnsi="Times New Roman" w:cs="Times New Roman"/>
          <w:color w:val="FF0000"/>
        </w:rPr>
        <w:t>正确。</w:t>
      </w:r>
    </w:p>
    <w:p w14:paraId="2CE65CF6">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新型工业化建设强调科技含量高、经济效益好、资源消耗低、环境污染少、人力资源优势得到充分发挥。新技术革命为新型工业化提供了强大的技术支撑，实现了生产过程的智能化、信息化，有助于加快推进新型工业化建设，</w:t>
      </w:r>
      <w:r>
        <w:rPr>
          <w:rFonts w:hint="eastAsia" w:ascii="宋体" w:hAnsi="宋体" w:eastAsia="宋体" w:cs="宋体"/>
          <w:color w:val="FF0000"/>
        </w:rPr>
        <w:t>④</w:t>
      </w:r>
      <w:r>
        <w:rPr>
          <w:rFonts w:ascii="Times New Roman" w:hAnsi="Times New Roman" w:cs="Times New Roman"/>
          <w:color w:val="FF0000"/>
        </w:rPr>
        <w:t>正确。</w:t>
      </w:r>
    </w:p>
    <w:p w14:paraId="41BFDB88">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故本题选D。</w:t>
      </w:r>
    </w:p>
    <w:p w14:paraId="180D5336">
      <w:pPr>
        <w:spacing w:line="360" w:lineRule="auto"/>
        <w:ind w:left="420" w:hanging="420"/>
        <w:jc w:val="left"/>
        <w:textAlignment w:val="center"/>
        <w:rPr>
          <w:rFonts w:ascii="Times New Roman" w:hAnsi="Times New Roman" w:cs="Times New Roman"/>
        </w:rPr>
      </w:pPr>
      <w:r>
        <w:rPr>
          <w:rFonts w:ascii="Times New Roman" w:hAnsi="Times New Roman" w:cs="Times New Roman"/>
        </w:rPr>
        <w:t>10．2023年，我国实施扩大内需战略，促消费扩投资，实现了全年5.2%的经济增长。全年内需对经济增长的贡献率达111.4%，其中消费的贡献率为82.5%，比2022年的39.4%有较大增长。据此可以推断，2023年我国（</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531B482F">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出口拖了经济增长的后腿</w:t>
      </w:r>
    </w:p>
    <w:p w14:paraId="28400EA3">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投资对经济增长的贡献率较上年减小</w:t>
      </w:r>
    </w:p>
    <w:p w14:paraId="480B9DC6">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国内循环主体作用凸显</w:t>
      </w:r>
    </w:p>
    <w:p w14:paraId="1FAEF570">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消费拉动经济增长的潜力已尽</w:t>
      </w:r>
    </w:p>
    <w:p w14:paraId="4FA862B8">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②④</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46566AA7">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【答案】B</w:t>
      </w:r>
    </w:p>
    <w:p w14:paraId="28777B2B">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：根据题干信息，2023年我国内需对经济增长的贡献率达111.4%，其中消费的贡献率为82.5%。这表明内需（包括消费和投资）是经济增长的主要动力，外需动力不足，即出口拖了经济增长的后腿，</w:t>
      </w:r>
      <w:r>
        <w:rPr>
          <w:rFonts w:hint="eastAsia" w:ascii="宋体" w:hAnsi="宋体" w:eastAsia="宋体" w:cs="宋体"/>
          <w:color w:val="FF0000"/>
        </w:rPr>
        <w:t>①</w:t>
      </w:r>
      <w:r>
        <w:rPr>
          <w:rFonts w:ascii="Times New Roman" w:hAnsi="Times New Roman" w:cs="Times New Roman"/>
          <w:color w:val="FF0000"/>
        </w:rPr>
        <w:t>正确。</w:t>
      </w:r>
    </w:p>
    <w:p w14:paraId="0E275C0D">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：内需对经济增长的贡献率高，说明国内循环的主体作用凸显，</w:t>
      </w:r>
      <w:r>
        <w:rPr>
          <w:rFonts w:hint="eastAsia" w:ascii="宋体" w:hAnsi="宋体" w:eastAsia="宋体" w:cs="宋体"/>
          <w:color w:val="FF0000"/>
        </w:rPr>
        <w:t>③</w:t>
      </w:r>
      <w:r>
        <w:rPr>
          <w:rFonts w:ascii="Times New Roman" w:hAnsi="Times New Roman" w:cs="Times New Roman"/>
          <w:color w:val="FF0000"/>
        </w:rPr>
        <w:t>正确。</w:t>
      </w:r>
    </w:p>
    <w:p w14:paraId="38DDA85E">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：题干没有提到投资对经济增长的具体贡献率变化情况，无法判断</w:t>
      </w:r>
      <w:r>
        <w:rPr>
          <w:rFonts w:hint="eastAsia" w:ascii="宋体" w:hAnsi="宋体" w:eastAsia="宋体" w:cs="宋体"/>
          <w:color w:val="FF0000"/>
        </w:rPr>
        <w:t>②</w:t>
      </w:r>
      <w:r>
        <w:rPr>
          <w:rFonts w:ascii="Times New Roman" w:hAnsi="Times New Roman" w:cs="Times New Roman"/>
          <w:color w:val="FF0000"/>
        </w:rPr>
        <w:t>是否正确，</w:t>
      </w:r>
      <w:r>
        <w:rPr>
          <w:rFonts w:hint="eastAsia" w:ascii="宋体" w:hAnsi="宋体" w:eastAsia="宋体" w:cs="宋体"/>
          <w:color w:val="FF0000"/>
        </w:rPr>
        <w:t>②</w:t>
      </w:r>
      <w:r>
        <w:rPr>
          <w:rFonts w:ascii="Times New Roman" w:hAnsi="Times New Roman" w:cs="Times New Roman"/>
          <w:color w:val="FF0000"/>
        </w:rPr>
        <w:t>排除。</w:t>
      </w:r>
    </w:p>
    <w:p w14:paraId="50E798CB">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：消费的贡献率较上年有较大增长，说明消费拉动经济增长的潜力仍在，</w:t>
      </w:r>
      <w:r>
        <w:rPr>
          <w:rFonts w:hint="eastAsia" w:ascii="宋体" w:hAnsi="宋体" w:eastAsia="宋体" w:cs="宋体"/>
          <w:color w:val="FF0000"/>
        </w:rPr>
        <w:t>④</w:t>
      </w:r>
      <w:r>
        <w:rPr>
          <w:rFonts w:ascii="Times New Roman" w:hAnsi="Times New Roman" w:cs="Times New Roman"/>
          <w:color w:val="FF0000"/>
        </w:rPr>
        <w:t>错误。</w:t>
      </w:r>
    </w:p>
    <w:p w14:paraId="0CFF6B2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故本题选B。</w:t>
      </w:r>
    </w:p>
    <w:p w14:paraId="20D40AB4">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【点睛】</w:t>
      </w:r>
    </w:p>
    <w:p w14:paraId="3E63517E">
      <w:pPr>
        <w:spacing w:line="360" w:lineRule="auto"/>
        <w:ind w:left="420" w:hanging="420"/>
        <w:jc w:val="left"/>
        <w:textAlignment w:val="center"/>
        <w:rPr>
          <w:rFonts w:ascii="Times New Roman" w:hAnsi="Times New Roman" w:cs="Times New Roman"/>
        </w:rPr>
      </w:pPr>
      <w:r>
        <w:rPr>
          <w:rFonts w:ascii="Times New Roman" w:hAnsi="Times New Roman" w:cs="Times New Roman"/>
        </w:rPr>
        <w:t>11．数据作为一种新型生产要素，具有非竞争性、易复制、可重复使用等特点。当前，数据供给水平与质量不高、数据泄露与隐私安全、权属不清、市场流通机制不畅等问题突出，严重制约了数据要素价值的有效释放。下列说法中正确的是（</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39602CC8">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政府应统筹推进数据的安全保障与治理</w:t>
      </w:r>
    </w:p>
    <w:p w14:paraId="104319AA">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政府应成为数据要素供给的核心主体</w:t>
      </w:r>
    </w:p>
    <w:p w14:paraId="7FF44EA6">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数据应通过多场景重复使用实现价值倍增</w:t>
      </w:r>
    </w:p>
    <w:p w14:paraId="3B948550">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数据要素应实现跨境完全自由流动</w:t>
      </w:r>
    </w:p>
    <w:p w14:paraId="6BA3FA67">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②④</w:t>
      </w:r>
    </w:p>
    <w:p w14:paraId="61C357B3">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【答案】A</w:t>
      </w:r>
    </w:p>
    <w:p w14:paraId="43DF7E37">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：面对数据泄露与隐私安全、权属不清的问题，政府应统筹推进数据的安全保障与治理，</w:t>
      </w:r>
      <w:r>
        <w:rPr>
          <w:rFonts w:hint="eastAsia" w:ascii="宋体" w:hAnsi="宋体" w:eastAsia="宋体" w:cs="宋体"/>
          <w:color w:val="FF0000"/>
        </w:rPr>
        <w:t>①</w:t>
      </w:r>
      <w:r>
        <w:rPr>
          <w:rFonts w:ascii="Times New Roman" w:hAnsi="Times New Roman" w:cs="Times New Roman"/>
          <w:color w:val="FF0000"/>
        </w:rPr>
        <w:t>符合题意。</w:t>
      </w:r>
    </w:p>
    <w:p w14:paraId="2072FB8C">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：数据要素供给的核心主体是企业，而不是政府，</w:t>
      </w:r>
      <w:r>
        <w:rPr>
          <w:rFonts w:hint="eastAsia" w:ascii="宋体" w:hAnsi="宋体" w:eastAsia="宋体" w:cs="宋体"/>
          <w:color w:val="FF0000"/>
        </w:rPr>
        <w:t>②</w:t>
      </w:r>
      <w:r>
        <w:rPr>
          <w:rFonts w:ascii="Times New Roman" w:hAnsi="Times New Roman" w:cs="Times New Roman"/>
          <w:color w:val="FF0000"/>
        </w:rPr>
        <w:t>不选。</w:t>
      </w:r>
    </w:p>
    <w:p w14:paraId="57E87A27">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：数据要素具有易复制、可重复使用的特点，故数据应通过多场景重复使用实现价值倍增，</w:t>
      </w:r>
      <w:r>
        <w:rPr>
          <w:rFonts w:hint="eastAsia" w:ascii="宋体" w:hAnsi="宋体" w:eastAsia="宋体" w:cs="宋体"/>
          <w:color w:val="FF0000"/>
        </w:rPr>
        <w:t>③</w:t>
      </w:r>
      <w:r>
        <w:rPr>
          <w:rFonts w:ascii="Times New Roman" w:hAnsi="Times New Roman" w:cs="Times New Roman"/>
          <w:color w:val="FF0000"/>
        </w:rPr>
        <w:t>符合题意。</w:t>
      </w:r>
    </w:p>
    <w:p w14:paraId="1444E22C">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：要促进数据依法有序自由流动，而不是实现跨境完全自由流动，</w:t>
      </w:r>
      <w:r>
        <w:rPr>
          <w:rFonts w:hint="eastAsia" w:ascii="宋体" w:hAnsi="宋体" w:eastAsia="宋体" w:cs="宋体"/>
          <w:color w:val="FF0000"/>
        </w:rPr>
        <w:t>④</w:t>
      </w:r>
      <w:r>
        <w:rPr>
          <w:rFonts w:ascii="Times New Roman" w:hAnsi="Times New Roman" w:cs="Times New Roman"/>
          <w:color w:val="FF0000"/>
        </w:rPr>
        <w:t>不选。</w:t>
      </w:r>
    </w:p>
    <w:p w14:paraId="26DCF3E3">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故本题选A。</w:t>
      </w:r>
    </w:p>
    <w:p w14:paraId="42F2A5F2">
      <w:pPr>
        <w:spacing w:line="360" w:lineRule="auto"/>
        <w:ind w:left="420" w:hanging="420"/>
        <w:jc w:val="left"/>
        <w:textAlignment w:val="center"/>
        <w:rPr>
          <w:rFonts w:ascii="Times New Roman" w:hAnsi="Times New Roman" w:cs="Times New Roman"/>
        </w:rPr>
      </w:pPr>
      <w:r>
        <w:rPr>
          <w:rFonts w:ascii="Times New Roman" w:hAnsi="Times New Roman" w:cs="Times New Roman"/>
        </w:rPr>
        <w:t>12．2023年12月中央经济工作会议强调，要以科技创新推动产业创新，特别是以颠覆性技术和前沿技术催生新产业、新模式、新动能，发展新质生产力。可见（</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3FC233B0">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新质生产力是供给侧结构性改革的前提条件</w:t>
      </w:r>
    </w:p>
    <w:p w14:paraId="53CB0A73">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发展新质生产力必须首先发展先进制造业</w:t>
      </w:r>
    </w:p>
    <w:p w14:paraId="132543B0">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发展新质生产力是转变经济发展方式的要求</w:t>
      </w:r>
    </w:p>
    <w:p w14:paraId="7AB4530D">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发展新质生产力必须深化供给侧结构性改革</w:t>
      </w:r>
    </w:p>
    <w:p w14:paraId="36AA87D4">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②④</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3CF5E97D">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【答案】D</w:t>
      </w:r>
    </w:p>
    <w:p w14:paraId="6799B01F">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③④</w:t>
      </w:r>
      <w:r>
        <w:rPr>
          <w:rFonts w:ascii="Times New Roman" w:hAnsi="Times New Roman" w:cs="Times New Roman"/>
          <w:color w:val="FF0000"/>
        </w:rPr>
        <w:t>：要以科技创新推动产业创新，特别是以颠覆性技术和前沿技术催生新产业、新模式、新动能，发展新质生产力，这表明发展新质生产力是转变经济发展方式的要求，发展新质生产力必须深化供给侧结构性改革，</w:t>
      </w:r>
      <w:r>
        <w:rPr>
          <w:rFonts w:hint="eastAsia" w:ascii="宋体" w:hAnsi="宋体" w:eastAsia="宋体" w:cs="宋体"/>
          <w:color w:val="FF0000"/>
        </w:rPr>
        <w:t>③④</w:t>
      </w:r>
      <w:r>
        <w:rPr>
          <w:rFonts w:ascii="Times New Roman" w:hAnsi="Times New Roman" w:cs="Times New Roman"/>
          <w:color w:val="FF0000"/>
        </w:rPr>
        <w:t>正确。</w:t>
      </w:r>
    </w:p>
    <w:p w14:paraId="1CA64A2C">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①</w:t>
      </w:r>
      <w:r>
        <w:rPr>
          <w:rFonts w:ascii="Times New Roman" w:hAnsi="Times New Roman" w:cs="Times New Roman"/>
          <w:color w:val="FF0000"/>
        </w:rPr>
        <w:t>：供给侧结构性改革是发展新质生产力的前提条件，发展新质生产力必须深化供给侧结构性改革，该选项说法颠倒，</w:t>
      </w:r>
      <w:r>
        <w:rPr>
          <w:rFonts w:hint="eastAsia" w:ascii="宋体" w:hAnsi="宋体" w:eastAsia="宋体" w:cs="宋体"/>
          <w:color w:val="FF0000"/>
        </w:rPr>
        <w:t>①</w:t>
      </w:r>
      <w:r>
        <w:rPr>
          <w:rFonts w:ascii="Times New Roman" w:hAnsi="Times New Roman" w:cs="Times New Roman"/>
          <w:color w:val="FF0000"/>
        </w:rPr>
        <w:t>错误。</w:t>
      </w:r>
    </w:p>
    <w:p w14:paraId="51B5795B">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：发展新质生产力需要发展先进制造业，但是“必须首先发展”说法过于绝对，</w:t>
      </w:r>
      <w:r>
        <w:rPr>
          <w:rFonts w:hint="eastAsia" w:ascii="宋体" w:hAnsi="宋体" w:eastAsia="宋体" w:cs="宋体"/>
          <w:color w:val="FF0000"/>
        </w:rPr>
        <w:t>②</w:t>
      </w:r>
      <w:r>
        <w:rPr>
          <w:rFonts w:ascii="Times New Roman" w:hAnsi="Times New Roman" w:cs="Times New Roman"/>
          <w:color w:val="FF0000"/>
        </w:rPr>
        <w:t>排除。</w:t>
      </w:r>
    </w:p>
    <w:p w14:paraId="61BA93EA">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故本题选D。</w:t>
      </w:r>
    </w:p>
    <w:p w14:paraId="6DE6D3B9">
      <w:pPr>
        <w:spacing w:line="360" w:lineRule="auto"/>
        <w:ind w:left="420" w:hanging="420"/>
        <w:jc w:val="left"/>
        <w:textAlignment w:val="center"/>
        <w:rPr>
          <w:rFonts w:ascii="Times New Roman" w:hAnsi="Times New Roman" w:cs="Times New Roman"/>
        </w:rPr>
      </w:pPr>
      <w:r>
        <w:rPr>
          <w:rFonts w:ascii="Times New Roman" w:hAnsi="Times New Roman" w:cs="Times New Roman"/>
        </w:rPr>
        <w:t>13．个税汇算是在每年年度终了后，纳税人对上一年度取得的工资薪金、劳务报酬、稿酬、特许权使用费等4项综合所得合并计税，向税务机关申请办理汇算，结清应退或者应补税款。个税汇算的“多退少补”（</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429FC457">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使我国居民收入来源更加多样化</w:t>
      </w:r>
    </w:p>
    <w:p w14:paraId="77298CCF">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有助于理顺国家和个人的收入分配关系</w:t>
      </w:r>
    </w:p>
    <w:p w14:paraId="56559569">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有助于增加一线劳动者的收入</w:t>
      </w:r>
    </w:p>
    <w:p w14:paraId="729006F2">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能够调节不同社会群体之间的利益关系</w:t>
      </w:r>
    </w:p>
    <w:p w14:paraId="1FBAAF0E">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②④</w:t>
      </w:r>
    </w:p>
    <w:p w14:paraId="33438899">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【答案】D</w:t>
      </w:r>
    </w:p>
    <w:p w14:paraId="705F6C57">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：个税汇算的“多退少补”仅针对既定的四项综合所得汇算清缴，并未直接增加了居民收入来源，</w:t>
      </w:r>
      <w:r>
        <w:rPr>
          <w:rFonts w:hint="eastAsia" w:ascii="宋体" w:hAnsi="宋体" w:eastAsia="宋体" w:cs="宋体"/>
          <w:color w:val="FF0000"/>
        </w:rPr>
        <w:t>①</w:t>
      </w:r>
      <w:r>
        <w:rPr>
          <w:rFonts w:ascii="Times New Roman" w:hAnsi="Times New Roman" w:cs="Times New Roman"/>
          <w:color w:val="FF0000"/>
        </w:rPr>
        <w:t>排除。</w:t>
      </w:r>
    </w:p>
    <w:p w14:paraId="61C6FFE0">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：通过汇总全年综合所得并重新计算应纳税额，避免重复征税或漏税‌，有助于理顺国家和个人的收入分配关系，</w:t>
      </w:r>
      <w:r>
        <w:rPr>
          <w:rFonts w:hint="eastAsia" w:ascii="宋体" w:hAnsi="宋体" w:eastAsia="宋体" w:cs="宋体"/>
          <w:color w:val="FF0000"/>
        </w:rPr>
        <w:t>②</w:t>
      </w:r>
      <w:r>
        <w:rPr>
          <w:rFonts w:ascii="Times New Roman" w:hAnsi="Times New Roman" w:cs="Times New Roman"/>
          <w:color w:val="FF0000"/>
        </w:rPr>
        <w:t>正确。</w:t>
      </w:r>
    </w:p>
    <w:p w14:paraId="4A5D59D0">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：个税汇算的“多退少补”本身不会直接增加劳动者的收入，而是根据其收入和扣除项进行汇算，是否“退税”或“补税”取决于个人情况，不能一概而论，</w:t>
      </w:r>
      <w:r>
        <w:rPr>
          <w:rFonts w:hint="eastAsia" w:ascii="宋体" w:hAnsi="宋体" w:eastAsia="宋体" w:cs="宋体"/>
          <w:color w:val="FF0000"/>
        </w:rPr>
        <w:t>③</w:t>
      </w:r>
      <w:r>
        <w:rPr>
          <w:rFonts w:ascii="Times New Roman" w:hAnsi="Times New Roman" w:cs="Times New Roman"/>
          <w:color w:val="FF0000"/>
        </w:rPr>
        <w:t>排除。</w:t>
      </w:r>
    </w:p>
    <w:p w14:paraId="4E197E81">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：个税汇算的“多退少补”通过专项扣除、附加扣除等政策，对低收入群体或特定支出（如教育、医疗）给予税收优惠，能够调节不同社会群体之间的利益关系，</w:t>
      </w:r>
      <w:r>
        <w:rPr>
          <w:rFonts w:hint="eastAsia" w:ascii="宋体" w:hAnsi="宋体" w:eastAsia="宋体" w:cs="宋体"/>
          <w:color w:val="FF0000"/>
        </w:rPr>
        <w:t>④</w:t>
      </w:r>
      <w:r>
        <w:rPr>
          <w:rFonts w:ascii="Times New Roman" w:hAnsi="Times New Roman" w:cs="Times New Roman"/>
          <w:color w:val="FF0000"/>
        </w:rPr>
        <w:t>正确。</w:t>
      </w:r>
    </w:p>
    <w:p w14:paraId="046B3994">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故本题选D。</w:t>
      </w:r>
    </w:p>
    <w:p w14:paraId="6A638E15">
      <w:pPr>
        <w:spacing w:line="360" w:lineRule="auto"/>
        <w:ind w:left="420" w:hanging="420"/>
        <w:jc w:val="left"/>
        <w:textAlignment w:val="center"/>
        <w:rPr>
          <w:rFonts w:ascii="Times New Roman" w:hAnsi="Times New Roman" w:cs="Times New Roman"/>
        </w:rPr>
      </w:pPr>
      <w:r>
        <w:rPr>
          <w:rFonts w:ascii="Times New Roman" w:hAnsi="Times New Roman" w:cs="Times New Roman"/>
        </w:rPr>
        <w:t>14．下表为2021~2023年浙江省城乡居民人均可支配收入构成情况</w:t>
      </w:r>
    </w:p>
    <w:tbl>
      <w:tblPr>
        <w:tblStyle w:val="19"/>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339"/>
        <w:gridCol w:w="1074"/>
        <w:gridCol w:w="1182"/>
        <w:gridCol w:w="1182"/>
        <w:gridCol w:w="1182"/>
        <w:gridCol w:w="1183"/>
        <w:gridCol w:w="1183"/>
      </w:tblGrid>
      <w:tr w14:paraId="493E9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530" w:type="dxa"/>
            <w:vMerge w:val="restar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8C1807F">
            <w:pPr>
              <w:spacing w:line="360" w:lineRule="auto"/>
              <w:jc w:val="center"/>
              <w:textAlignment w:val="center"/>
              <w:rPr>
                <w:rFonts w:ascii="Times New Roman" w:hAnsi="Times New Roman" w:cs="Times New Roman"/>
              </w:rPr>
            </w:pPr>
            <w:r>
              <w:rPr>
                <w:rFonts w:ascii="Times New Roman" w:hAnsi="Times New Roman" w:cs="Times New Roman"/>
              </w:rPr>
              <w:t>项目</w:t>
            </w:r>
          </w:p>
        </w:tc>
        <w:tc>
          <w:tcPr>
            <w:tcW w:w="3330" w:type="dxa"/>
            <w:gridSpan w:val="3"/>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1368101">
            <w:pPr>
              <w:spacing w:line="360" w:lineRule="auto"/>
              <w:jc w:val="center"/>
              <w:textAlignment w:val="center"/>
              <w:rPr>
                <w:rFonts w:ascii="Times New Roman" w:hAnsi="Times New Roman" w:cs="Times New Roman"/>
              </w:rPr>
            </w:pPr>
            <w:r>
              <w:rPr>
                <w:rFonts w:ascii="Times New Roman" w:hAnsi="Times New Roman" w:cs="Times New Roman"/>
              </w:rPr>
              <w:t>城镇居民</w:t>
            </w:r>
          </w:p>
        </w:tc>
        <w:tc>
          <w:tcPr>
            <w:tcW w:w="3450" w:type="dxa"/>
            <w:gridSpan w:val="3"/>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40AEAAA">
            <w:pPr>
              <w:spacing w:line="360" w:lineRule="auto"/>
              <w:jc w:val="center"/>
              <w:textAlignment w:val="center"/>
              <w:rPr>
                <w:rFonts w:ascii="Times New Roman" w:hAnsi="Times New Roman" w:cs="Times New Roman"/>
              </w:rPr>
            </w:pPr>
            <w:r>
              <w:rPr>
                <w:rFonts w:ascii="Times New Roman" w:hAnsi="Times New Roman" w:cs="Times New Roman"/>
              </w:rPr>
              <w:t>农村居民</w:t>
            </w:r>
          </w:p>
        </w:tc>
      </w:tr>
      <w:tr w14:paraId="5A29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tcPr>
          <w:p w14:paraId="1091AD3D">
            <w:pPr>
              <w:spacing w:line="360" w:lineRule="auto"/>
              <w:jc w:val="left"/>
              <w:textAlignment w:val="center"/>
              <w:rPr>
                <w:rFonts w:ascii="Times New Roman" w:hAnsi="Times New Roman" w:cs="Times New Roman"/>
              </w:rPr>
            </w:pPr>
          </w:p>
        </w:tc>
        <w:tc>
          <w:tcPr>
            <w:tcW w:w="12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3ABF6CD">
            <w:pPr>
              <w:spacing w:line="360" w:lineRule="auto"/>
              <w:jc w:val="left"/>
              <w:textAlignment w:val="center"/>
              <w:rPr>
                <w:rFonts w:ascii="Times New Roman" w:hAnsi="Times New Roman" w:cs="Times New Roman"/>
              </w:rPr>
            </w:pPr>
            <w:r>
              <w:rPr>
                <w:rFonts w:ascii="Times New Roman" w:hAnsi="Times New Roman" w:cs="Times New Roman"/>
              </w:rPr>
              <w:t>2021</w:t>
            </w:r>
          </w:p>
        </w:tc>
        <w:tc>
          <w:tcPr>
            <w:tcW w:w="13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4299060">
            <w:pPr>
              <w:spacing w:line="360" w:lineRule="auto"/>
              <w:jc w:val="left"/>
              <w:textAlignment w:val="center"/>
              <w:rPr>
                <w:rFonts w:ascii="Times New Roman" w:hAnsi="Times New Roman" w:cs="Times New Roman"/>
              </w:rPr>
            </w:pPr>
            <w:r>
              <w:rPr>
                <w:rFonts w:ascii="Times New Roman" w:hAnsi="Times New Roman" w:cs="Times New Roman"/>
              </w:rPr>
              <w:t>2022</w:t>
            </w:r>
          </w:p>
        </w:tc>
        <w:tc>
          <w:tcPr>
            <w:tcW w:w="13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344BB38">
            <w:pPr>
              <w:spacing w:line="360" w:lineRule="auto"/>
              <w:jc w:val="left"/>
              <w:textAlignment w:val="center"/>
              <w:rPr>
                <w:rFonts w:ascii="Times New Roman" w:hAnsi="Times New Roman" w:cs="Times New Roman"/>
              </w:rPr>
            </w:pPr>
            <w:r>
              <w:rPr>
                <w:rFonts w:ascii="Times New Roman" w:hAnsi="Times New Roman" w:cs="Times New Roman"/>
              </w:rPr>
              <w:t>2023</w:t>
            </w:r>
          </w:p>
        </w:tc>
        <w:tc>
          <w:tcPr>
            <w:tcW w:w="13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9CC713F">
            <w:pPr>
              <w:spacing w:line="360" w:lineRule="auto"/>
              <w:jc w:val="left"/>
              <w:textAlignment w:val="center"/>
              <w:rPr>
                <w:rFonts w:ascii="Times New Roman" w:hAnsi="Times New Roman" w:cs="Times New Roman"/>
              </w:rPr>
            </w:pPr>
            <w:r>
              <w:rPr>
                <w:rFonts w:ascii="Times New Roman" w:hAnsi="Times New Roman" w:cs="Times New Roman"/>
              </w:rPr>
              <w:t>2021</w:t>
            </w:r>
          </w:p>
        </w:tc>
        <w:tc>
          <w:tcPr>
            <w:tcW w:w="13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2610CE5">
            <w:pPr>
              <w:spacing w:line="360" w:lineRule="auto"/>
              <w:jc w:val="left"/>
              <w:textAlignment w:val="center"/>
              <w:rPr>
                <w:rFonts w:ascii="Times New Roman" w:hAnsi="Times New Roman" w:cs="Times New Roman"/>
              </w:rPr>
            </w:pPr>
            <w:r>
              <w:rPr>
                <w:rFonts w:ascii="Times New Roman" w:hAnsi="Times New Roman" w:cs="Times New Roman"/>
              </w:rPr>
              <w:t>2022</w:t>
            </w:r>
          </w:p>
        </w:tc>
        <w:tc>
          <w:tcPr>
            <w:tcW w:w="13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30ED893">
            <w:pPr>
              <w:spacing w:line="360" w:lineRule="auto"/>
              <w:jc w:val="left"/>
              <w:textAlignment w:val="center"/>
              <w:rPr>
                <w:rFonts w:ascii="Times New Roman" w:hAnsi="Times New Roman" w:cs="Times New Roman"/>
              </w:rPr>
            </w:pPr>
            <w:r>
              <w:rPr>
                <w:rFonts w:ascii="Times New Roman" w:hAnsi="Times New Roman" w:cs="Times New Roman"/>
              </w:rPr>
              <w:t>2023</w:t>
            </w:r>
          </w:p>
        </w:tc>
      </w:tr>
      <w:tr w14:paraId="40CA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5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E19CB7F">
            <w:pPr>
              <w:spacing w:line="360" w:lineRule="auto"/>
              <w:jc w:val="center"/>
              <w:textAlignment w:val="center"/>
              <w:rPr>
                <w:rFonts w:ascii="Times New Roman" w:hAnsi="Times New Roman" w:cs="Times New Roman"/>
              </w:rPr>
            </w:pPr>
            <w:r>
              <w:rPr>
                <w:rFonts w:ascii="Times New Roman" w:hAnsi="Times New Roman" w:cs="Times New Roman"/>
              </w:rPr>
              <w:t>工资性收入（%）</w:t>
            </w:r>
          </w:p>
        </w:tc>
        <w:tc>
          <w:tcPr>
            <w:tcW w:w="10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9550065">
            <w:pPr>
              <w:spacing w:line="360" w:lineRule="auto"/>
              <w:jc w:val="left"/>
              <w:textAlignment w:val="center"/>
              <w:rPr>
                <w:rFonts w:ascii="Times New Roman" w:hAnsi="Times New Roman" w:cs="Times New Roman"/>
              </w:rPr>
            </w:pPr>
            <w:r>
              <w:rPr>
                <w:rFonts w:ascii="Times New Roman" w:hAnsi="Times New Roman" w:cs="Times New Roman"/>
              </w:rPr>
              <w:t>56.1</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ADEBD65">
            <w:pPr>
              <w:spacing w:line="360" w:lineRule="auto"/>
              <w:jc w:val="left"/>
              <w:textAlignment w:val="center"/>
              <w:rPr>
                <w:rFonts w:ascii="Times New Roman" w:hAnsi="Times New Roman" w:cs="Times New Roman"/>
              </w:rPr>
            </w:pPr>
            <w:r>
              <w:rPr>
                <w:rFonts w:ascii="Times New Roman" w:hAnsi="Times New Roman" w:cs="Times New Roman"/>
              </w:rPr>
              <w:t>55.7</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F0233F3">
            <w:pPr>
              <w:spacing w:line="360" w:lineRule="auto"/>
              <w:jc w:val="left"/>
              <w:textAlignment w:val="center"/>
              <w:rPr>
                <w:rFonts w:ascii="Times New Roman" w:hAnsi="Times New Roman" w:cs="Times New Roman"/>
              </w:rPr>
            </w:pPr>
            <w:r>
              <w:rPr>
                <w:rFonts w:ascii="Times New Roman" w:hAnsi="Times New Roman" w:cs="Times New Roman"/>
              </w:rPr>
              <w:t>55.3</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F939DB0">
            <w:pPr>
              <w:spacing w:line="360" w:lineRule="auto"/>
              <w:jc w:val="left"/>
              <w:textAlignment w:val="center"/>
              <w:rPr>
                <w:rFonts w:ascii="Times New Roman" w:hAnsi="Times New Roman" w:cs="Times New Roman"/>
              </w:rPr>
            </w:pPr>
            <w:r>
              <w:rPr>
                <w:rFonts w:ascii="Times New Roman" w:hAnsi="Times New Roman" w:cs="Times New Roman"/>
              </w:rPr>
              <w:t>60.8</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FE6984D">
            <w:pPr>
              <w:spacing w:line="360" w:lineRule="auto"/>
              <w:jc w:val="left"/>
              <w:textAlignment w:val="center"/>
              <w:rPr>
                <w:rFonts w:ascii="Times New Roman" w:hAnsi="Times New Roman" w:cs="Times New Roman"/>
              </w:rPr>
            </w:pPr>
            <w:r>
              <w:rPr>
                <w:rFonts w:ascii="Times New Roman" w:hAnsi="Times New Roman" w:cs="Times New Roman"/>
              </w:rPr>
              <w:t>60.4</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AFF275E">
            <w:pPr>
              <w:spacing w:line="360" w:lineRule="auto"/>
              <w:jc w:val="left"/>
              <w:textAlignment w:val="center"/>
              <w:rPr>
                <w:rFonts w:ascii="Times New Roman" w:hAnsi="Times New Roman" w:cs="Times New Roman"/>
              </w:rPr>
            </w:pPr>
            <w:r>
              <w:rPr>
                <w:rFonts w:ascii="Times New Roman" w:hAnsi="Times New Roman" w:cs="Times New Roman"/>
              </w:rPr>
              <w:t>59.1</w:t>
            </w:r>
          </w:p>
        </w:tc>
      </w:tr>
      <w:tr w14:paraId="32479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5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FB3C814">
            <w:pPr>
              <w:spacing w:line="360" w:lineRule="auto"/>
              <w:jc w:val="center"/>
              <w:textAlignment w:val="center"/>
              <w:rPr>
                <w:rFonts w:ascii="Times New Roman" w:hAnsi="Times New Roman" w:cs="Times New Roman"/>
              </w:rPr>
            </w:pPr>
            <w:r>
              <w:rPr>
                <w:rFonts w:ascii="Times New Roman" w:hAnsi="Times New Roman" w:cs="Times New Roman"/>
              </w:rPr>
              <w:t>经营净收入（%）</w:t>
            </w:r>
          </w:p>
        </w:tc>
        <w:tc>
          <w:tcPr>
            <w:tcW w:w="10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42EE1B7">
            <w:pPr>
              <w:spacing w:line="360" w:lineRule="auto"/>
              <w:jc w:val="left"/>
              <w:textAlignment w:val="center"/>
              <w:rPr>
                <w:rFonts w:ascii="Times New Roman" w:hAnsi="Times New Roman" w:cs="Times New Roman"/>
              </w:rPr>
            </w:pPr>
            <w:r>
              <w:rPr>
                <w:rFonts w:ascii="Times New Roman" w:hAnsi="Times New Roman" w:cs="Times New Roman"/>
              </w:rPr>
              <w:t>14.1</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8907F05">
            <w:pPr>
              <w:spacing w:line="360" w:lineRule="auto"/>
              <w:jc w:val="left"/>
              <w:textAlignment w:val="center"/>
              <w:rPr>
                <w:rFonts w:ascii="Times New Roman" w:hAnsi="Times New Roman" w:cs="Times New Roman"/>
              </w:rPr>
            </w:pPr>
            <w:r>
              <w:rPr>
                <w:rFonts w:ascii="Times New Roman" w:hAnsi="Times New Roman" w:cs="Times New Roman"/>
              </w:rPr>
              <w:t>14.4</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26E7A7F">
            <w:pPr>
              <w:spacing w:line="360" w:lineRule="auto"/>
              <w:jc w:val="left"/>
              <w:textAlignment w:val="center"/>
              <w:rPr>
                <w:rFonts w:ascii="Times New Roman" w:hAnsi="Times New Roman" w:cs="Times New Roman"/>
              </w:rPr>
            </w:pPr>
            <w:r>
              <w:rPr>
                <w:rFonts w:ascii="Times New Roman" w:hAnsi="Times New Roman" w:cs="Times New Roman"/>
              </w:rPr>
              <w:t>14.4</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9AB2D0F">
            <w:pPr>
              <w:spacing w:line="360" w:lineRule="auto"/>
              <w:jc w:val="left"/>
              <w:textAlignment w:val="center"/>
              <w:rPr>
                <w:rFonts w:ascii="Times New Roman" w:hAnsi="Times New Roman" w:cs="Times New Roman"/>
              </w:rPr>
            </w:pPr>
            <w:r>
              <w:rPr>
                <w:rFonts w:ascii="Times New Roman" w:hAnsi="Times New Roman" w:cs="Times New Roman"/>
              </w:rPr>
              <w:t>24.2</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6282B2F">
            <w:pPr>
              <w:spacing w:line="360" w:lineRule="auto"/>
              <w:jc w:val="left"/>
              <w:textAlignment w:val="center"/>
              <w:rPr>
                <w:rFonts w:ascii="Times New Roman" w:hAnsi="Times New Roman" w:cs="Times New Roman"/>
              </w:rPr>
            </w:pPr>
            <w:r>
              <w:rPr>
                <w:rFonts w:ascii="Times New Roman" w:hAnsi="Times New Roman" w:cs="Times New Roman"/>
              </w:rPr>
              <w:t>24.4</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574D77D">
            <w:pPr>
              <w:spacing w:line="360" w:lineRule="auto"/>
              <w:jc w:val="left"/>
              <w:textAlignment w:val="center"/>
              <w:rPr>
                <w:rFonts w:ascii="Times New Roman" w:hAnsi="Times New Roman" w:cs="Times New Roman"/>
              </w:rPr>
            </w:pPr>
            <w:r>
              <w:rPr>
                <w:rFonts w:ascii="Times New Roman" w:hAnsi="Times New Roman" w:cs="Times New Roman"/>
              </w:rPr>
              <w:t>25.6</w:t>
            </w:r>
          </w:p>
        </w:tc>
      </w:tr>
      <w:tr w14:paraId="4B1A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5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58F19A5">
            <w:pPr>
              <w:spacing w:line="360" w:lineRule="auto"/>
              <w:jc w:val="center"/>
              <w:textAlignment w:val="center"/>
              <w:rPr>
                <w:rFonts w:ascii="Times New Roman" w:hAnsi="Times New Roman" w:cs="Times New Roman"/>
              </w:rPr>
            </w:pPr>
            <w:r>
              <w:rPr>
                <w:rFonts w:ascii="Times New Roman" w:hAnsi="Times New Roman" w:cs="Times New Roman"/>
              </w:rPr>
              <w:t>财产净收入（%）</w:t>
            </w:r>
          </w:p>
        </w:tc>
        <w:tc>
          <w:tcPr>
            <w:tcW w:w="10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A65277B">
            <w:pPr>
              <w:spacing w:line="360" w:lineRule="auto"/>
              <w:jc w:val="left"/>
              <w:textAlignment w:val="center"/>
              <w:rPr>
                <w:rFonts w:ascii="Times New Roman" w:hAnsi="Times New Roman" w:cs="Times New Roman"/>
              </w:rPr>
            </w:pPr>
            <w:r>
              <w:rPr>
                <w:rFonts w:ascii="Times New Roman" w:hAnsi="Times New Roman" w:cs="Times New Roman"/>
              </w:rPr>
              <w:t>14.3</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A8880DA">
            <w:pPr>
              <w:spacing w:line="360" w:lineRule="auto"/>
              <w:jc w:val="left"/>
              <w:textAlignment w:val="center"/>
              <w:rPr>
                <w:rFonts w:ascii="Times New Roman" w:hAnsi="Times New Roman" w:cs="Times New Roman"/>
              </w:rPr>
            </w:pPr>
            <w:r>
              <w:rPr>
                <w:rFonts w:ascii="Times New Roman" w:hAnsi="Times New Roman" w:cs="Times New Roman"/>
              </w:rPr>
              <w:t>14.6</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8437793">
            <w:pPr>
              <w:spacing w:line="360" w:lineRule="auto"/>
              <w:jc w:val="left"/>
              <w:textAlignment w:val="center"/>
              <w:rPr>
                <w:rFonts w:ascii="Times New Roman" w:hAnsi="Times New Roman" w:cs="Times New Roman"/>
              </w:rPr>
            </w:pPr>
            <w:r>
              <w:rPr>
                <w:rFonts w:ascii="Times New Roman" w:hAnsi="Times New Roman" w:cs="Times New Roman"/>
              </w:rPr>
              <w:t>14.5</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860C6C9">
            <w:pPr>
              <w:spacing w:line="360" w:lineRule="auto"/>
              <w:jc w:val="left"/>
              <w:textAlignment w:val="center"/>
              <w:rPr>
                <w:rFonts w:ascii="Times New Roman" w:hAnsi="Times New Roman" w:cs="Times New Roman"/>
              </w:rPr>
            </w:pPr>
            <w:r>
              <w:rPr>
                <w:rFonts w:ascii="Times New Roman" w:hAnsi="Times New Roman" w:cs="Times New Roman"/>
              </w:rPr>
              <w:t>3.1</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F897680">
            <w:pPr>
              <w:spacing w:line="360" w:lineRule="auto"/>
              <w:jc w:val="left"/>
              <w:textAlignment w:val="center"/>
              <w:rPr>
                <w:rFonts w:ascii="Times New Roman" w:hAnsi="Times New Roman" w:cs="Times New Roman"/>
              </w:rPr>
            </w:pPr>
            <w:r>
              <w:rPr>
                <w:rFonts w:ascii="Times New Roman" w:hAnsi="Times New Roman" w:cs="Times New Roman"/>
              </w:rPr>
              <w:t>3.1</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9B80EC2">
            <w:pPr>
              <w:spacing w:line="360" w:lineRule="auto"/>
              <w:jc w:val="left"/>
              <w:textAlignment w:val="center"/>
              <w:rPr>
                <w:rFonts w:ascii="Times New Roman" w:hAnsi="Times New Roman" w:cs="Times New Roman"/>
              </w:rPr>
            </w:pPr>
            <w:r>
              <w:rPr>
                <w:rFonts w:ascii="Times New Roman" w:hAnsi="Times New Roman" w:cs="Times New Roman"/>
              </w:rPr>
              <w:t>3.1</w:t>
            </w:r>
          </w:p>
        </w:tc>
      </w:tr>
      <w:tr w14:paraId="11BA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5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EB452A3">
            <w:pPr>
              <w:spacing w:line="360" w:lineRule="auto"/>
              <w:jc w:val="center"/>
              <w:textAlignment w:val="center"/>
              <w:rPr>
                <w:rFonts w:ascii="Times New Roman" w:hAnsi="Times New Roman" w:cs="Times New Roman"/>
              </w:rPr>
            </w:pPr>
            <w:r>
              <w:rPr>
                <w:rFonts w:ascii="Times New Roman" w:hAnsi="Times New Roman" w:cs="Times New Roman"/>
              </w:rPr>
              <w:t>转移净收入（%）</w:t>
            </w:r>
          </w:p>
        </w:tc>
        <w:tc>
          <w:tcPr>
            <w:tcW w:w="10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74EF37D">
            <w:pPr>
              <w:spacing w:line="360" w:lineRule="auto"/>
              <w:jc w:val="left"/>
              <w:textAlignment w:val="center"/>
              <w:rPr>
                <w:rFonts w:ascii="Times New Roman" w:hAnsi="Times New Roman" w:cs="Times New Roman"/>
              </w:rPr>
            </w:pPr>
            <w:r>
              <w:rPr>
                <w:rFonts w:ascii="Times New Roman" w:hAnsi="Times New Roman" w:cs="Times New Roman"/>
              </w:rPr>
              <w:t>15.5</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8305CDD">
            <w:pPr>
              <w:spacing w:line="360" w:lineRule="auto"/>
              <w:jc w:val="left"/>
              <w:textAlignment w:val="center"/>
              <w:rPr>
                <w:rFonts w:ascii="Times New Roman" w:hAnsi="Times New Roman" w:cs="Times New Roman"/>
              </w:rPr>
            </w:pPr>
            <w:r>
              <w:rPr>
                <w:rFonts w:ascii="Times New Roman" w:hAnsi="Times New Roman" w:cs="Times New Roman"/>
              </w:rPr>
              <w:t>15.3</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63CE732">
            <w:pPr>
              <w:spacing w:line="360" w:lineRule="auto"/>
              <w:jc w:val="left"/>
              <w:textAlignment w:val="center"/>
              <w:rPr>
                <w:rFonts w:ascii="Times New Roman" w:hAnsi="Times New Roman" w:cs="Times New Roman"/>
              </w:rPr>
            </w:pPr>
            <w:r>
              <w:rPr>
                <w:rFonts w:ascii="Times New Roman" w:hAnsi="Times New Roman" w:cs="Times New Roman"/>
              </w:rPr>
              <w:t>15.8</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3E522C5">
            <w:pPr>
              <w:spacing w:line="360" w:lineRule="auto"/>
              <w:jc w:val="left"/>
              <w:textAlignment w:val="center"/>
              <w:rPr>
                <w:rFonts w:ascii="Times New Roman" w:hAnsi="Times New Roman" w:cs="Times New Roman"/>
              </w:rPr>
            </w:pPr>
            <w:r>
              <w:rPr>
                <w:rFonts w:ascii="Times New Roman" w:hAnsi="Times New Roman" w:cs="Times New Roman"/>
              </w:rPr>
              <w:t>11.9</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E13F9D6">
            <w:pPr>
              <w:spacing w:line="360" w:lineRule="auto"/>
              <w:jc w:val="left"/>
              <w:textAlignment w:val="center"/>
              <w:rPr>
                <w:rFonts w:ascii="Times New Roman" w:hAnsi="Times New Roman" w:cs="Times New Roman"/>
              </w:rPr>
            </w:pPr>
            <w:r>
              <w:rPr>
                <w:rFonts w:ascii="Times New Roman" w:hAnsi="Times New Roman" w:cs="Times New Roman"/>
              </w:rPr>
              <w:t>12.1</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C241991">
            <w:pPr>
              <w:spacing w:line="360" w:lineRule="auto"/>
              <w:jc w:val="left"/>
              <w:textAlignment w:val="center"/>
              <w:rPr>
                <w:rFonts w:ascii="Times New Roman" w:hAnsi="Times New Roman" w:cs="Times New Roman"/>
              </w:rPr>
            </w:pPr>
            <w:r>
              <w:rPr>
                <w:rFonts w:ascii="Times New Roman" w:hAnsi="Times New Roman" w:cs="Times New Roman"/>
              </w:rPr>
              <w:t>12.2</w:t>
            </w:r>
          </w:p>
        </w:tc>
      </w:tr>
    </w:tbl>
    <w:p w14:paraId="63375866">
      <w:pPr>
        <w:spacing w:line="360" w:lineRule="auto"/>
        <w:ind w:left="420"/>
        <w:jc w:val="left"/>
        <w:textAlignment w:val="center"/>
        <w:rPr>
          <w:rFonts w:ascii="Times New Roman" w:hAnsi="Times New Roman" w:cs="Times New Roman"/>
        </w:rPr>
      </w:pPr>
      <w:r>
        <w:rPr>
          <w:rFonts w:ascii="Times New Roman" w:hAnsi="Times New Roman" w:cs="Times New Roman"/>
        </w:rPr>
        <w:t>另：2021年、2022年、2023年城乡收入比分别为1.94、1.90、1.86。</w:t>
      </w:r>
    </w:p>
    <w:p w14:paraId="70601C1A">
      <w:pPr>
        <w:spacing w:line="360" w:lineRule="auto"/>
        <w:ind w:left="420"/>
        <w:jc w:val="left"/>
        <w:textAlignment w:val="center"/>
        <w:rPr>
          <w:rFonts w:ascii="Times New Roman" w:hAnsi="Times New Roman" w:cs="Times New Roman"/>
        </w:rPr>
      </w:pPr>
      <w:r>
        <w:rPr>
          <w:rFonts w:ascii="Times New Roman" w:hAnsi="Times New Roman" w:cs="Times New Roman"/>
        </w:rPr>
        <w:t>数据来源：《2023年浙江统计年鉴》《2023年浙江省国民经济和社会发展统计公报》，</w:t>
      </w:r>
    </w:p>
    <w:p w14:paraId="45814C9E">
      <w:pPr>
        <w:spacing w:line="360" w:lineRule="auto"/>
        <w:ind w:left="420"/>
        <w:jc w:val="left"/>
        <w:textAlignment w:val="center"/>
        <w:rPr>
          <w:rFonts w:ascii="Times New Roman" w:hAnsi="Times New Roman" w:cs="Times New Roman"/>
        </w:rPr>
      </w:pPr>
      <w:r>
        <w:rPr>
          <w:rFonts w:ascii="Times New Roman" w:hAnsi="Times New Roman" w:cs="Times New Roman"/>
        </w:rPr>
        <w:t>由以上材料可知，2021~2023年浙江省（</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34062ADB">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城镇居民非工资性收入结构比农村居民更为均衡</w:t>
      </w:r>
    </w:p>
    <w:p w14:paraId="1131F42D">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居民通过按劳分配方式获得的收入占比逐年下降</w:t>
      </w:r>
    </w:p>
    <w:p w14:paraId="5DE02E06">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城乡居民收入差距状况有所改善</w:t>
      </w:r>
    </w:p>
    <w:p w14:paraId="5EF231AD">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农村居民财产净收入不断增长</w:t>
      </w:r>
    </w:p>
    <w:p w14:paraId="67113179">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②④</w:t>
      </w:r>
    </w:p>
    <w:p w14:paraId="0780BE31">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【答案】A</w:t>
      </w:r>
    </w:p>
    <w:p w14:paraId="00A4BCDE">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城镇居民非工资性收入结构比农村居民更为均衡：从表中数据可以看出，城镇居民的经营净收入、财产净收入和转移净收入的比例相对接近，而农村居民的经营净收入比例明显高于财产净收入和转移净收入的比例，因此城镇居民的非工资性收入结构比农村居民更为均衡，</w:t>
      </w:r>
      <w:r>
        <w:rPr>
          <w:rFonts w:hint="eastAsia" w:ascii="宋体" w:hAnsi="宋体" w:eastAsia="宋体" w:cs="宋体"/>
          <w:color w:val="FF0000"/>
        </w:rPr>
        <w:t>①</w:t>
      </w:r>
      <w:r>
        <w:rPr>
          <w:rFonts w:ascii="Times New Roman" w:hAnsi="Times New Roman" w:cs="Times New Roman"/>
          <w:color w:val="FF0000"/>
        </w:rPr>
        <w:t>正确。</w:t>
      </w:r>
    </w:p>
    <w:p w14:paraId="40A81F82">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：从表中数据可以看出，无论是城镇居民还是农村居民，只能判断出工资性收入的比例在2021年至2023年间均有所下降，但无法推断出城镇居民和农村居民的工资性收入是否属于通过按劳分配方式获得的，</w:t>
      </w:r>
      <w:r>
        <w:rPr>
          <w:rFonts w:hint="eastAsia" w:ascii="宋体" w:hAnsi="宋体" w:eastAsia="宋体" w:cs="宋体"/>
          <w:color w:val="FF0000"/>
        </w:rPr>
        <w:t>②</w:t>
      </w:r>
      <w:r>
        <w:rPr>
          <w:rFonts w:ascii="Times New Roman" w:hAnsi="Times New Roman" w:cs="Times New Roman"/>
          <w:color w:val="FF0000"/>
        </w:rPr>
        <w:t>排除。</w:t>
      </w:r>
    </w:p>
    <w:p w14:paraId="4D160361">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：城乡收入比从2021年的1.94下降到2023年的1.86，说明城乡居民收入差距有所缩小，城乡居民收入差距状况有所改善，</w:t>
      </w:r>
      <w:r>
        <w:rPr>
          <w:rFonts w:hint="eastAsia" w:ascii="宋体" w:hAnsi="宋体" w:eastAsia="宋体" w:cs="宋体"/>
          <w:color w:val="FF0000"/>
        </w:rPr>
        <w:t>③</w:t>
      </w:r>
      <w:r>
        <w:rPr>
          <w:rFonts w:ascii="Times New Roman" w:hAnsi="Times New Roman" w:cs="Times New Roman"/>
          <w:color w:val="FF0000"/>
        </w:rPr>
        <w:t>正确。</w:t>
      </w:r>
    </w:p>
    <w:p w14:paraId="226681B6">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：从表中数据可以看出，农村居民的财产净收入比例在2021年、2022年、2023年均为3.1%，并没有增长，</w:t>
      </w:r>
      <w:r>
        <w:rPr>
          <w:rFonts w:hint="eastAsia" w:ascii="宋体" w:hAnsi="宋体" w:eastAsia="宋体" w:cs="宋体"/>
          <w:color w:val="FF0000"/>
        </w:rPr>
        <w:t>④</w:t>
      </w:r>
      <w:r>
        <w:rPr>
          <w:rFonts w:ascii="Times New Roman" w:hAnsi="Times New Roman" w:cs="Times New Roman"/>
          <w:color w:val="FF0000"/>
        </w:rPr>
        <w:t>错误。</w:t>
      </w:r>
    </w:p>
    <w:p w14:paraId="74C069ED">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故本题选A。</w:t>
      </w:r>
    </w:p>
    <w:p w14:paraId="3774F389">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【点睛】</w:t>
      </w:r>
    </w:p>
    <w:p w14:paraId="6E1B98F1">
      <w:pPr>
        <w:spacing w:line="360" w:lineRule="auto"/>
        <w:ind w:left="420" w:hanging="420"/>
        <w:jc w:val="left"/>
        <w:textAlignment w:val="center"/>
        <w:rPr>
          <w:rFonts w:ascii="Times New Roman" w:hAnsi="Times New Roman" w:cs="Times New Roman"/>
        </w:rPr>
      </w:pPr>
      <w:r>
        <w:rPr>
          <w:rFonts w:ascii="Times New Roman" w:hAnsi="Times New Roman" w:cs="Times New Roman"/>
        </w:rPr>
        <w:t>15．下表为2020~2022年浙江省社会保障相关指标变动情况。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947"/>
        <w:gridCol w:w="2382"/>
        <w:gridCol w:w="2852"/>
        <w:gridCol w:w="1808"/>
        <w:gridCol w:w="1991"/>
      </w:tblGrid>
      <w:tr w14:paraId="604EE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8E30F7C">
            <w:pPr>
              <w:spacing w:line="360" w:lineRule="auto"/>
              <w:jc w:val="center"/>
              <w:textAlignment w:val="center"/>
              <w:rPr>
                <w:rFonts w:ascii="Times New Roman" w:hAnsi="Times New Roman" w:cs="Times New Roman"/>
              </w:rPr>
            </w:pPr>
            <w:r>
              <w:rPr>
                <w:rFonts w:ascii="Times New Roman" w:hAnsi="Times New Roman" w:cs="Times New Roman"/>
              </w:rPr>
              <w:t>指标年份</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9BB9DFF">
            <w:pPr>
              <w:spacing w:line="360" w:lineRule="auto"/>
              <w:jc w:val="center"/>
              <w:textAlignment w:val="center"/>
              <w:rPr>
                <w:rFonts w:ascii="Times New Roman" w:hAnsi="Times New Roman" w:cs="Times New Roman"/>
              </w:rPr>
            </w:pPr>
            <w:r>
              <w:rPr>
                <w:rFonts w:ascii="Times New Roman" w:hAnsi="Times New Roman" w:cs="Times New Roman"/>
              </w:rPr>
              <w:t>参加基本养老保险人数（万人）</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EF380E3">
            <w:pPr>
              <w:spacing w:line="360" w:lineRule="auto"/>
              <w:jc w:val="center"/>
              <w:textAlignment w:val="center"/>
              <w:rPr>
                <w:rFonts w:ascii="Times New Roman" w:hAnsi="Times New Roman" w:cs="Times New Roman"/>
              </w:rPr>
            </w:pPr>
            <w:r>
              <w:rPr>
                <w:rFonts w:ascii="Times New Roman" w:hAnsi="Times New Roman" w:cs="Times New Roman"/>
              </w:rPr>
              <w:t>养老保险基础养老金最低标准（元/月）</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940CBD4">
            <w:pPr>
              <w:spacing w:line="360" w:lineRule="auto"/>
              <w:jc w:val="center"/>
              <w:textAlignment w:val="center"/>
              <w:rPr>
                <w:rFonts w:ascii="Times New Roman" w:hAnsi="Times New Roman" w:cs="Times New Roman"/>
              </w:rPr>
            </w:pPr>
            <w:r>
              <w:rPr>
                <w:rFonts w:ascii="Times New Roman" w:hAnsi="Times New Roman" w:cs="Times New Roman"/>
              </w:rPr>
              <w:t>在册低保人数（万人）</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F63E216">
            <w:pPr>
              <w:spacing w:line="360" w:lineRule="auto"/>
              <w:jc w:val="center"/>
              <w:textAlignment w:val="center"/>
              <w:rPr>
                <w:rFonts w:ascii="Times New Roman" w:hAnsi="Times New Roman" w:cs="Times New Roman"/>
              </w:rPr>
            </w:pPr>
            <w:r>
              <w:rPr>
                <w:rFonts w:ascii="Times New Roman" w:hAnsi="Times New Roman" w:cs="Times New Roman"/>
              </w:rPr>
              <w:t>低保标准（元/每人每月）</w:t>
            </w:r>
          </w:p>
        </w:tc>
      </w:tr>
      <w:tr w14:paraId="3E2C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F2806BC">
            <w:pPr>
              <w:spacing w:line="360" w:lineRule="auto"/>
              <w:jc w:val="center"/>
              <w:textAlignment w:val="center"/>
              <w:rPr>
                <w:rFonts w:ascii="Times New Roman" w:hAnsi="Times New Roman" w:cs="Times New Roman"/>
              </w:rPr>
            </w:pPr>
            <w:r>
              <w:rPr>
                <w:rFonts w:ascii="Times New Roman" w:hAnsi="Times New Roman" w:cs="Times New Roman"/>
              </w:rPr>
              <w:t>2020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848E6E6">
            <w:pPr>
              <w:spacing w:line="360" w:lineRule="auto"/>
              <w:jc w:val="left"/>
              <w:textAlignment w:val="center"/>
              <w:rPr>
                <w:rFonts w:ascii="Times New Roman" w:hAnsi="Times New Roman" w:cs="Times New Roman"/>
              </w:rPr>
            </w:pPr>
            <w:r>
              <w:rPr>
                <w:rFonts w:ascii="Times New Roman" w:hAnsi="Times New Roman" w:cs="Times New Roman"/>
              </w:rPr>
              <w:t>4355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97937F6">
            <w:pPr>
              <w:spacing w:line="360" w:lineRule="auto"/>
              <w:jc w:val="left"/>
              <w:textAlignment w:val="center"/>
              <w:rPr>
                <w:rFonts w:ascii="Times New Roman" w:hAnsi="Times New Roman" w:cs="Times New Roman"/>
              </w:rPr>
            </w:pPr>
            <w:r>
              <w:rPr>
                <w:rFonts w:ascii="Times New Roman" w:hAnsi="Times New Roman" w:cs="Times New Roman"/>
              </w:rPr>
              <w:t>165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7913A7D">
            <w:pPr>
              <w:spacing w:line="360" w:lineRule="auto"/>
              <w:jc w:val="left"/>
              <w:textAlignment w:val="center"/>
              <w:rPr>
                <w:rFonts w:ascii="Times New Roman" w:hAnsi="Times New Roman" w:cs="Times New Roman"/>
              </w:rPr>
            </w:pPr>
            <w:r>
              <w:rPr>
                <w:rFonts w:ascii="Times New Roman" w:hAnsi="Times New Roman" w:cs="Times New Roman"/>
              </w:rPr>
              <w:t>61.4</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B16AD2D">
            <w:pPr>
              <w:spacing w:line="360" w:lineRule="auto"/>
              <w:jc w:val="left"/>
              <w:textAlignment w:val="center"/>
              <w:rPr>
                <w:rFonts w:ascii="Times New Roman" w:hAnsi="Times New Roman" w:cs="Times New Roman"/>
              </w:rPr>
            </w:pPr>
            <w:r>
              <w:rPr>
                <w:rFonts w:ascii="Times New Roman" w:hAnsi="Times New Roman" w:cs="Times New Roman"/>
              </w:rPr>
              <w:t>886</w:t>
            </w:r>
          </w:p>
        </w:tc>
      </w:tr>
      <w:tr w14:paraId="75D4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4DA0F90">
            <w:pPr>
              <w:spacing w:line="360" w:lineRule="auto"/>
              <w:jc w:val="center"/>
              <w:textAlignment w:val="center"/>
              <w:rPr>
                <w:rFonts w:ascii="Times New Roman" w:hAnsi="Times New Roman" w:cs="Times New Roman"/>
              </w:rPr>
            </w:pPr>
            <w:r>
              <w:rPr>
                <w:rFonts w:ascii="Times New Roman" w:hAnsi="Times New Roman" w:cs="Times New Roman"/>
              </w:rPr>
              <w:t>2021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B68DAA8">
            <w:pPr>
              <w:spacing w:line="360" w:lineRule="auto"/>
              <w:jc w:val="left"/>
              <w:textAlignment w:val="center"/>
              <w:rPr>
                <w:rFonts w:ascii="Times New Roman" w:hAnsi="Times New Roman" w:cs="Times New Roman"/>
              </w:rPr>
            </w:pPr>
            <w:r>
              <w:rPr>
                <w:rFonts w:ascii="Times New Roman" w:hAnsi="Times New Roman" w:cs="Times New Roman"/>
              </w:rPr>
              <w:t>4423</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E321A51">
            <w:pPr>
              <w:spacing w:line="360" w:lineRule="auto"/>
              <w:jc w:val="left"/>
              <w:textAlignment w:val="center"/>
              <w:rPr>
                <w:rFonts w:ascii="Times New Roman" w:hAnsi="Times New Roman" w:cs="Times New Roman"/>
              </w:rPr>
            </w:pPr>
            <w:r>
              <w:rPr>
                <w:rFonts w:ascii="Times New Roman" w:hAnsi="Times New Roman" w:cs="Times New Roman"/>
              </w:rPr>
              <w:t>180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21FF2CD">
            <w:pPr>
              <w:spacing w:line="360" w:lineRule="auto"/>
              <w:jc w:val="left"/>
              <w:textAlignment w:val="center"/>
              <w:rPr>
                <w:rFonts w:ascii="Times New Roman" w:hAnsi="Times New Roman" w:cs="Times New Roman"/>
              </w:rPr>
            </w:pPr>
            <w:r>
              <w:rPr>
                <w:rFonts w:ascii="Times New Roman" w:hAnsi="Times New Roman" w:cs="Times New Roman"/>
              </w:rPr>
              <w:t>59.3</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2B5E59F">
            <w:pPr>
              <w:spacing w:line="360" w:lineRule="auto"/>
              <w:jc w:val="left"/>
              <w:textAlignment w:val="center"/>
              <w:rPr>
                <w:rFonts w:ascii="Times New Roman" w:hAnsi="Times New Roman" w:cs="Times New Roman"/>
              </w:rPr>
            </w:pPr>
            <w:r>
              <w:rPr>
                <w:rFonts w:ascii="Times New Roman" w:hAnsi="Times New Roman" w:cs="Times New Roman"/>
              </w:rPr>
              <w:t>941</w:t>
            </w:r>
          </w:p>
        </w:tc>
      </w:tr>
      <w:tr w14:paraId="7839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5C06B44">
            <w:pPr>
              <w:spacing w:line="360" w:lineRule="auto"/>
              <w:jc w:val="center"/>
              <w:textAlignment w:val="center"/>
              <w:rPr>
                <w:rFonts w:ascii="Times New Roman" w:hAnsi="Times New Roman" w:cs="Times New Roman"/>
              </w:rPr>
            </w:pPr>
            <w:r>
              <w:rPr>
                <w:rFonts w:ascii="Times New Roman" w:hAnsi="Times New Roman" w:cs="Times New Roman"/>
              </w:rPr>
              <w:t>2022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43B2440">
            <w:pPr>
              <w:spacing w:line="360" w:lineRule="auto"/>
              <w:jc w:val="left"/>
              <w:textAlignment w:val="center"/>
              <w:rPr>
                <w:rFonts w:ascii="Times New Roman" w:hAnsi="Times New Roman" w:cs="Times New Roman"/>
              </w:rPr>
            </w:pPr>
            <w:r>
              <w:rPr>
                <w:rFonts w:ascii="Times New Roman" w:hAnsi="Times New Roman" w:cs="Times New Roman"/>
              </w:rPr>
              <w:t>4520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BBA554B">
            <w:pPr>
              <w:spacing w:line="360" w:lineRule="auto"/>
              <w:jc w:val="left"/>
              <w:textAlignment w:val="center"/>
              <w:rPr>
                <w:rFonts w:ascii="Times New Roman" w:hAnsi="Times New Roman" w:cs="Times New Roman"/>
              </w:rPr>
            </w:pPr>
            <w:r>
              <w:rPr>
                <w:rFonts w:ascii="Times New Roman" w:hAnsi="Times New Roman" w:cs="Times New Roman"/>
              </w:rPr>
              <w:t>190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7C2F30C">
            <w:pPr>
              <w:spacing w:line="360" w:lineRule="auto"/>
              <w:jc w:val="left"/>
              <w:textAlignment w:val="center"/>
              <w:rPr>
                <w:rFonts w:ascii="Times New Roman" w:hAnsi="Times New Roman" w:cs="Times New Roman"/>
              </w:rPr>
            </w:pPr>
            <w:r>
              <w:rPr>
                <w:rFonts w:ascii="Times New Roman" w:hAnsi="Times New Roman" w:cs="Times New Roman"/>
              </w:rPr>
              <w:t>56.4</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88C1243">
            <w:pPr>
              <w:spacing w:line="360" w:lineRule="auto"/>
              <w:jc w:val="left"/>
              <w:textAlignment w:val="center"/>
              <w:rPr>
                <w:rFonts w:ascii="Times New Roman" w:hAnsi="Times New Roman" w:cs="Times New Roman"/>
              </w:rPr>
            </w:pPr>
            <w:r>
              <w:rPr>
                <w:rFonts w:ascii="Times New Roman" w:hAnsi="Times New Roman" w:cs="Times New Roman"/>
              </w:rPr>
              <w:t>1083</w:t>
            </w:r>
          </w:p>
        </w:tc>
      </w:tr>
    </w:tbl>
    <w:p w14:paraId="1892B961">
      <w:pPr>
        <w:spacing w:line="360" w:lineRule="auto"/>
        <w:ind w:left="420"/>
        <w:jc w:val="left"/>
        <w:textAlignment w:val="center"/>
        <w:rPr>
          <w:rFonts w:ascii="Times New Roman" w:hAnsi="Times New Roman" w:cs="Times New Roman"/>
        </w:rPr>
      </w:pPr>
      <w:r>
        <w:rPr>
          <w:rFonts w:ascii="Times New Roman" w:hAnsi="Times New Roman" w:cs="Times New Roman"/>
        </w:rPr>
        <w:t>数据来源：2020~2022年浙江省国民经济与社会发展统计公报</w:t>
      </w:r>
    </w:p>
    <w:p w14:paraId="1D407899">
      <w:pPr>
        <w:spacing w:line="360" w:lineRule="auto"/>
        <w:ind w:left="420"/>
        <w:jc w:val="left"/>
        <w:textAlignment w:val="center"/>
        <w:rPr>
          <w:rFonts w:ascii="Times New Roman" w:hAnsi="Times New Roman" w:cs="Times New Roman"/>
        </w:rPr>
      </w:pPr>
      <w:r>
        <w:rPr>
          <w:rFonts w:ascii="Times New Roman" w:hAnsi="Times New Roman" w:cs="Times New Roman"/>
        </w:rPr>
        <w:t>由表中信息可知，浙江省（</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3CEFB417">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基本养老保险覆盖人数逐年增加</w:t>
      </w:r>
    </w:p>
    <w:p w14:paraId="717B10D2">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人均领取基础养老金逐年上升</w:t>
      </w:r>
    </w:p>
    <w:p w14:paraId="5D83771E">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社会救助人数逐年下降</w:t>
      </w:r>
    </w:p>
    <w:p w14:paraId="3CA9955D">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社会救助的部分标准逐年提高</w:t>
      </w:r>
    </w:p>
    <w:p w14:paraId="7EBC1487">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4B241629">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【答案】B</w:t>
      </w:r>
    </w:p>
    <w:p w14:paraId="3A1FF397">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：由表中信息可知，参加基本养老保险人数由4355万人到 4423万人再到4520万人，可推出基本养老保险覆盖人数逐年增加，</w:t>
      </w:r>
      <w:r>
        <w:rPr>
          <w:rFonts w:hint="eastAsia" w:ascii="宋体" w:hAnsi="宋体" w:eastAsia="宋体" w:cs="宋体"/>
          <w:color w:val="FF0000"/>
        </w:rPr>
        <w:t>①</w:t>
      </w:r>
      <w:r>
        <w:rPr>
          <w:rFonts w:ascii="Times New Roman" w:hAnsi="Times New Roman" w:cs="Times New Roman"/>
          <w:color w:val="FF0000"/>
        </w:rPr>
        <w:t>符合题意。</w:t>
      </w:r>
    </w:p>
    <w:p w14:paraId="3ECA833A">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：材料没有涉及人均领取的基础养老金情况，</w:t>
      </w:r>
      <w:r>
        <w:rPr>
          <w:rFonts w:hint="eastAsia" w:ascii="宋体" w:hAnsi="宋体" w:eastAsia="宋体" w:cs="宋体"/>
          <w:color w:val="FF0000"/>
        </w:rPr>
        <w:t>②</w:t>
      </w:r>
      <w:r>
        <w:rPr>
          <w:rFonts w:ascii="Times New Roman" w:hAnsi="Times New Roman" w:cs="Times New Roman"/>
          <w:color w:val="FF0000"/>
        </w:rPr>
        <w:t>不符合题意。</w:t>
      </w:r>
    </w:p>
    <w:p w14:paraId="6605C9A0">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社会救助是政府通过国民收入再分配，对因自然灾害和其他经济社会原因而无法维持最低生活水平的公民给予无偿帮助，以保障其最低生活水平。由材料信息知在册低保人数在逐年减少，但低保只是社会救助的一部分，不能必然推出社会救助人数逐年下降，</w:t>
      </w:r>
      <w:r>
        <w:rPr>
          <w:rFonts w:hint="eastAsia" w:ascii="宋体" w:hAnsi="宋体" w:eastAsia="宋体" w:cs="宋体"/>
          <w:color w:val="FF0000"/>
        </w:rPr>
        <w:t>③</w:t>
      </w:r>
      <w:r>
        <w:rPr>
          <w:rFonts w:ascii="Times New Roman" w:hAnsi="Times New Roman" w:cs="Times New Roman"/>
          <w:color w:val="FF0000"/>
        </w:rPr>
        <w:t>不符合题意。</w:t>
      </w:r>
    </w:p>
    <w:p w14:paraId="38210750">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：低保标准逐年提高，而社会救助包括社会低保，所以社会救助的部分标准（低保标准）逐年提高，</w:t>
      </w:r>
      <w:r>
        <w:rPr>
          <w:rFonts w:hint="eastAsia" w:ascii="宋体" w:hAnsi="宋体" w:eastAsia="宋体" w:cs="宋体"/>
          <w:color w:val="FF0000"/>
        </w:rPr>
        <w:t>④</w:t>
      </w:r>
      <w:r>
        <w:rPr>
          <w:rFonts w:ascii="Times New Roman" w:hAnsi="Times New Roman" w:cs="Times New Roman"/>
          <w:color w:val="FF0000"/>
        </w:rPr>
        <w:t>符合题意。</w:t>
      </w:r>
    </w:p>
    <w:p w14:paraId="64DCF853">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故本题选B。</w:t>
      </w:r>
    </w:p>
    <w:p w14:paraId="5645F5AA">
      <w:pPr>
        <w:spacing w:line="360" w:lineRule="auto"/>
        <w:ind w:left="420" w:hanging="420"/>
        <w:jc w:val="left"/>
        <w:textAlignment w:val="center"/>
        <w:rPr>
          <w:rFonts w:ascii="Times New Roman" w:hAnsi="Times New Roman" w:cs="Times New Roman"/>
        </w:rPr>
      </w:pPr>
      <w:r>
        <w:rPr>
          <w:rFonts w:ascii="Times New Roman" w:hAnsi="Times New Roman" w:cs="Times New Roman"/>
        </w:rPr>
        <w:t>16．小明在某公众平台兼职从事法律咨询服务，兼职收入包括：一是通过法律咨询获得收入：二是达到一定粉丝量后，接广告获得收入，平台从中抽成5%。由此可知（</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22CF5146">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小明的广告收入是按生产要素参与分配</w:t>
      </w:r>
      <w:r>
        <w:rPr>
          <w:rFonts w:ascii="Times New Roman" w:hAnsi="Times New Roman" w:eastAsia="Times New Roman" w:cs="Times New Roman"/>
          <w:kern w:val="0"/>
          <w:sz w:val="24"/>
          <w:szCs w:val="24"/>
        </w:rPr>
        <w:t xml:space="preserve">       </w:t>
      </w:r>
    </w:p>
    <w:p w14:paraId="599AF211">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小明从事法律咨询的收入属于按劳分配</w:t>
      </w:r>
    </w:p>
    <w:p w14:paraId="4013B870">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小明从事法律咨询可以增加其收入来源</w:t>
      </w:r>
      <w:r>
        <w:rPr>
          <w:rFonts w:ascii="Times New Roman" w:hAnsi="Times New Roman" w:eastAsia="Times New Roman" w:cs="Times New Roman"/>
          <w:kern w:val="0"/>
          <w:sz w:val="24"/>
          <w:szCs w:val="24"/>
        </w:rPr>
        <w:t xml:space="preserve">       </w:t>
      </w:r>
    </w:p>
    <w:p w14:paraId="47D264F3">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平台抽成补充了现有收入分配要素类型</w:t>
      </w:r>
    </w:p>
    <w:p w14:paraId="2285C57F">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②④</w:t>
      </w:r>
    </w:p>
    <w:p w14:paraId="71F53AFE">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【答案】A</w:t>
      </w:r>
    </w:p>
    <w:p w14:paraId="357194CD">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：广告收入通常与粉丝量相关，可以视为“数据”或“影响力”这种生产要素，因此可以认为是按生产要素分配，</w:t>
      </w:r>
      <w:r>
        <w:rPr>
          <w:rFonts w:hint="eastAsia" w:ascii="宋体" w:hAnsi="宋体" w:eastAsia="宋体" w:cs="宋体"/>
          <w:color w:val="FF0000"/>
        </w:rPr>
        <w:t>①</w:t>
      </w:r>
      <w:r>
        <w:rPr>
          <w:rFonts w:ascii="Times New Roman" w:hAnsi="Times New Roman" w:cs="Times New Roman"/>
          <w:color w:val="FF0000"/>
        </w:rPr>
        <w:t>正确。</w:t>
      </w:r>
    </w:p>
    <w:p w14:paraId="262FD720">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：按劳分配存在于公有制经济中，小明在公众平台兼职，不属于公有制经济范畴，其法律咨询收入并非按劳分配，</w:t>
      </w:r>
      <w:r>
        <w:rPr>
          <w:rFonts w:hint="eastAsia" w:ascii="宋体" w:hAnsi="宋体" w:eastAsia="宋体" w:cs="宋体"/>
          <w:color w:val="FF0000"/>
        </w:rPr>
        <w:t>②</w:t>
      </w:r>
      <w:r>
        <w:rPr>
          <w:rFonts w:ascii="Times New Roman" w:hAnsi="Times New Roman" w:cs="Times New Roman"/>
          <w:color w:val="FF0000"/>
        </w:rPr>
        <w:t>排除。</w:t>
      </w:r>
    </w:p>
    <w:p w14:paraId="5CF423D7">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：小明原本可能有其他收入，现在通过法律咨询和广告兼职获得额外收入，收入来源确实增加，</w:t>
      </w:r>
      <w:r>
        <w:rPr>
          <w:rFonts w:hint="eastAsia" w:ascii="宋体" w:hAnsi="宋体" w:eastAsia="宋体" w:cs="宋体"/>
          <w:color w:val="FF0000"/>
        </w:rPr>
        <w:t>③</w:t>
      </w:r>
      <w:r>
        <w:rPr>
          <w:rFonts w:ascii="Times New Roman" w:hAnsi="Times New Roman" w:cs="Times New Roman"/>
          <w:color w:val="FF0000"/>
        </w:rPr>
        <w:t>正确。</w:t>
      </w:r>
    </w:p>
    <w:p w14:paraId="7CE7A4EF">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：平台抽成是平台盈利方式，平台凭借所具有资本、技术、管理、数据等获得抽成，这并没有补充我国现有劳动、资本、土地、知识、技术、管理、数据等收入分配要素类型，</w:t>
      </w:r>
      <w:r>
        <w:rPr>
          <w:rFonts w:hint="eastAsia" w:ascii="宋体" w:hAnsi="宋体" w:eastAsia="宋体" w:cs="宋体"/>
          <w:color w:val="FF0000"/>
        </w:rPr>
        <w:t>④</w:t>
      </w:r>
      <w:r>
        <w:rPr>
          <w:rFonts w:ascii="Times New Roman" w:hAnsi="Times New Roman" w:cs="Times New Roman"/>
          <w:color w:val="FF0000"/>
        </w:rPr>
        <w:t>排除。</w:t>
      </w:r>
    </w:p>
    <w:p w14:paraId="23F42781">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故本题选A。</w:t>
      </w:r>
    </w:p>
    <w:p w14:paraId="3462248E">
      <w:pPr>
        <w:spacing w:line="360" w:lineRule="auto"/>
        <w:ind w:left="420" w:hanging="420"/>
        <w:jc w:val="left"/>
        <w:textAlignment w:val="center"/>
        <w:rPr>
          <w:rFonts w:ascii="Times New Roman" w:hAnsi="Times New Roman" w:cs="Times New Roman"/>
        </w:rPr>
      </w:pPr>
      <w:r>
        <w:rPr>
          <w:rFonts w:ascii="Times New Roman" w:hAnsi="Times New Roman" w:cs="Times New Roman"/>
        </w:rPr>
        <w:t>17．2025年政府工作报告强调要完善社会保障和服务政策，提出了一系列心系民生福祉的改革举措。下表中的改革举措与“群众期盼”相匹配的是（</w:t>
      </w:r>
      <w:r>
        <w:rPr>
          <w:rFonts w:ascii="Times New Roman" w:hAnsi="Times New Roman" w:eastAsia="Times New Roman" w:cs="Times New Roman"/>
          <w:kern w:val="0"/>
          <w:sz w:val="24"/>
          <w:szCs w:val="24"/>
        </w:rPr>
        <w:t xml:space="preserve">   </w:t>
      </w:r>
      <w:r>
        <w:rPr>
          <w:rFonts w:ascii="Times New Roman" w:hAnsi="Times New Roman" w:cs="Times New Roman"/>
        </w:rPr>
        <w:t>）</w:t>
      </w:r>
    </w:p>
    <w:tbl>
      <w:tblPr>
        <w:tblStyle w:val="19"/>
        <w:tblW w:w="6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49"/>
        <w:gridCol w:w="1049"/>
        <w:gridCol w:w="4452"/>
      </w:tblGrid>
      <w:tr w14:paraId="5D2D2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44BD1BF">
            <w:pPr>
              <w:spacing w:line="360" w:lineRule="auto"/>
              <w:jc w:val="center"/>
              <w:textAlignment w:val="center"/>
              <w:rPr>
                <w:rFonts w:ascii="Times New Roman" w:hAnsi="Times New Roman" w:cs="Times New Roman"/>
              </w:rPr>
            </w:pPr>
            <w:r>
              <w:rPr>
                <w:rFonts w:ascii="Times New Roman" w:hAnsi="Times New Roman" w:cs="Times New Roman"/>
              </w:rPr>
              <w:t>序号</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440343F">
            <w:pPr>
              <w:spacing w:line="360" w:lineRule="auto"/>
              <w:jc w:val="center"/>
              <w:textAlignment w:val="center"/>
              <w:rPr>
                <w:rFonts w:ascii="Times New Roman" w:hAnsi="Times New Roman" w:cs="Times New Roman"/>
              </w:rPr>
            </w:pPr>
            <w:r>
              <w:rPr>
                <w:rFonts w:ascii="Times New Roman" w:hAnsi="Times New Roman" w:cs="Times New Roman"/>
              </w:rPr>
              <w:t>群众期盼</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B6B6190">
            <w:pPr>
              <w:spacing w:line="360" w:lineRule="auto"/>
              <w:jc w:val="center"/>
              <w:textAlignment w:val="center"/>
              <w:rPr>
                <w:rFonts w:ascii="Times New Roman" w:hAnsi="Times New Roman" w:cs="Times New Roman"/>
              </w:rPr>
            </w:pPr>
            <w:r>
              <w:rPr>
                <w:rFonts w:ascii="Times New Roman" w:hAnsi="Times New Roman" w:cs="Times New Roman"/>
              </w:rPr>
              <w:t>改革举措</w:t>
            </w:r>
          </w:p>
        </w:tc>
      </w:tr>
      <w:tr w14:paraId="23BA5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EB17478">
            <w:pPr>
              <w:spacing w:line="360" w:lineRule="auto"/>
              <w:jc w:val="center"/>
              <w:textAlignment w:val="center"/>
              <w:rPr>
                <w:rFonts w:ascii="Times New Roman" w:hAnsi="Times New Roman" w:cs="Times New Roman"/>
              </w:rPr>
            </w:pPr>
            <w:r>
              <w:rPr>
                <w:rFonts w:hint="eastAsia" w:ascii="宋体" w:hAnsi="宋体" w:eastAsia="宋体" w:cs="宋体"/>
              </w:rPr>
              <w:t>①</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DC96C25">
            <w:pPr>
              <w:spacing w:line="360" w:lineRule="auto"/>
              <w:jc w:val="left"/>
              <w:textAlignment w:val="center"/>
              <w:rPr>
                <w:rFonts w:ascii="Times New Roman" w:hAnsi="Times New Roman" w:cs="Times New Roman"/>
              </w:rPr>
            </w:pPr>
            <w:r>
              <w:rPr>
                <w:rFonts w:ascii="Times New Roman" w:hAnsi="Times New Roman" w:cs="Times New Roman"/>
              </w:rPr>
              <w:t>幼有所育</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741AD73">
            <w:pPr>
              <w:spacing w:line="360" w:lineRule="auto"/>
              <w:jc w:val="left"/>
              <w:textAlignment w:val="center"/>
              <w:rPr>
                <w:rFonts w:ascii="Times New Roman" w:hAnsi="Times New Roman" w:cs="Times New Roman"/>
              </w:rPr>
            </w:pPr>
            <w:r>
              <w:rPr>
                <w:rFonts w:ascii="Times New Roman" w:hAnsi="Times New Roman" w:cs="Times New Roman"/>
              </w:rPr>
              <w:t>大力发展托幼一体服务，增加普惠托育服务供给</w:t>
            </w:r>
          </w:p>
        </w:tc>
      </w:tr>
      <w:tr w14:paraId="27B6B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56952CF">
            <w:pPr>
              <w:spacing w:line="360" w:lineRule="auto"/>
              <w:jc w:val="center"/>
              <w:textAlignment w:val="center"/>
              <w:rPr>
                <w:rFonts w:ascii="Times New Roman" w:hAnsi="Times New Roman" w:cs="Times New Roman"/>
              </w:rPr>
            </w:pPr>
            <w:r>
              <w:rPr>
                <w:rFonts w:hint="eastAsia" w:ascii="宋体" w:hAnsi="宋体" w:eastAsia="宋体" w:cs="宋体"/>
              </w:rPr>
              <w:t>②</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C3DA8C1">
            <w:pPr>
              <w:spacing w:line="360" w:lineRule="auto"/>
              <w:jc w:val="left"/>
              <w:textAlignment w:val="center"/>
              <w:rPr>
                <w:rFonts w:ascii="Times New Roman" w:hAnsi="Times New Roman" w:cs="Times New Roman"/>
              </w:rPr>
            </w:pPr>
            <w:r>
              <w:rPr>
                <w:rFonts w:ascii="Times New Roman" w:hAnsi="Times New Roman" w:cs="Times New Roman"/>
              </w:rPr>
              <w:t>弱有所扶</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434D419">
            <w:pPr>
              <w:spacing w:line="360" w:lineRule="auto"/>
              <w:jc w:val="left"/>
              <w:textAlignment w:val="center"/>
              <w:rPr>
                <w:rFonts w:ascii="Times New Roman" w:hAnsi="Times New Roman" w:cs="Times New Roman"/>
              </w:rPr>
            </w:pPr>
            <w:r>
              <w:rPr>
                <w:rFonts w:ascii="Times New Roman" w:hAnsi="Times New Roman" w:cs="Times New Roman"/>
              </w:rPr>
              <w:t>加强低收入人口动态监测和常态化救助帮扶</w:t>
            </w:r>
          </w:p>
        </w:tc>
      </w:tr>
      <w:tr w14:paraId="69420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A12A6E4">
            <w:pPr>
              <w:spacing w:line="360" w:lineRule="auto"/>
              <w:jc w:val="center"/>
              <w:textAlignment w:val="center"/>
              <w:rPr>
                <w:rFonts w:ascii="Times New Roman" w:hAnsi="Times New Roman" w:cs="Times New Roman"/>
              </w:rPr>
            </w:pPr>
            <w:r>
              <w:rPr>
                <w:rFonts w:hint="eastAsia" w:ascii="宋体" w:hAnsi="宋体" w:eastAsia="宋体" w:cs="宋体"/>
              </w:rPr>
              <w:t>③</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5C0E246">
            <w:pPr>
              <w:spacing w:line="360" w:lineRule="auto"/>
              <w:jc w:val="left"/>
              <w:textAlignment w:val="center"/>
              <w:rPr>
                <w:rFonts w:ascii="Times New Roman" w:hAnsi="Times New Roman" w:cs="Times New Roman"/>
              </w:rPr>
            </w:pPr>
            <w:r>
              <w:rPr>
                <w:rFonts w:ascii="Times New Roman" w:hAnsi="Times New Roman" w:cs="Times New Roman"/>
              </w:rPr>
              <w:t>病有所医</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74A40F6">
            <w:pPr>
              <w:spacing w:line="360" w:lineRule="auto"/>
              <w:jc w:val="left"/>
              <w:textAlignment w:val="center"/>
              <w:rPr>
                <w:rFonts w:ascii="Times New Roman" w:hAnsi="Times New Roman" w:cs="Times New Roman"/>
              </w:rPr>
            </w:pPr>
            <w:r>
              <w:rPr>
                <w:rFonts w:ascii="Times New Roman" w:hAnsi="Times New Roman" w:cs="Times New Roman"/>
              </w:rPr>
              <w:t>城乡居民基础养老金最低标准再提高20元</w:t>
            </w:r>
          </w:p>
        </w:tc>
      </w:tr>
      <w:tr w14:paraId="63C5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DC45E46">
            <w:pPr>
              <w:spacing w:line="360" w:lineRule="auto"/>
              <w:jc w:val="center"/>
              <w:textAlignment w:val="center"/>
              <w:rPr>
                <w:rFonts w:ascii="Times New Roman" w:hAnsi="Times New Roman" w:cs="Times New Roman"/>
              </w:rPr>
            </w:pPr>
            <w:r>
              <w:rPr>
                <w:rFonts w:hint="eastAsia" w:ascii="宋体" w:hAnsi="宋体" w:eastAsia="宋体" w:cs="宋体"/>
              </w:rPr>
              <w:t>④</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E0D1B5F">
            <w:pPr>
              <w:spacing w:line="360" w:lineRule="auto"/>
              <w:jc w:val="left"/>
              <w:textAlignment w:val="center"/>
              <w:rPr>
                <w:rFonts w:ascii="Times New Roman" w:hAnsi="Times New Roman" w:cs="Times New Roman"/>
              </w:rPr>
            </w:pPr>
            <w:r>
              <w:rPr>
                <w:rFonts w:ascii="Times New Roman" w:hAnsi="Times New Roman" w:cs="Times New Roman"/>
              </w:rPr>
              <w:t>老有所养</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4670B91">
            <w:pPr>
              <w:spacing w:line="360" w:lineRule="auto"/>
              <w:jc w:val="left"/>
              <w:textAlignment w:val="center"/>
              <w:rPr>
                <w:rFonts w:ascii="Times New Roman" w:hAnsi="Times New Roman" w:cs="Times New Roman"/>
              </w:rPr>
            </w:pPr>
            <w:r>
              <w:rPr>
                <w:rFonts w:ascii="Times New Roman" w:hAnsi="Times New Roman" w:cs="Times New Roman"/>
              </w:rPr>
              <w:t>我国实施渐进式延迟法定退休年龄改革</w:t>
            </w:r>
          </w:p>
        </w:tc>
      </w:tr>
    </w:tbl>
    <w:p w14:paraId="7A43C29D">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②④</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75B8311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【答案】A</w:t>
      </w:r>
    </w:p>
    <w:p w14:paraId="5C964CB8">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：“幼有所育”指为幼儿提供养育和教育保障。改革举措通过增加普惠托育服务供给，直接解决幼儿托育问题，因此匹配，</w:t>
      </w:r>
      <w:r>
        <w:rPr>
          <w:rFonts w:hint="eastAsia" w:ascii="宋体" w:hAnsi="宋体" w:eastAsia="宋体" w:cs="宋体"/>
          <w:color w:val="FF0000"/>
        </w:rPr>
        <w:t>①</w:t>
      </w:r>
      <w:r>
        <w:rPr>
          <w:rFonts w:ascii="Times New Roman" w:hAnsi="Times New Roman" w:cs="Times New Roman"/>
          <w:color w:val="FF0000"/>
        </w:rPr>
        <w:t>正确。</w:t>
      </w:r>
    </w:p>
    <w:p w14:paraId="6C2E4A7E">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：“弱有所扶”指对弱势群体（如低收入人群）提供扶持。改革举措针对低收入人口实施动态监测和救助帮扶，体现了对弱势群体的保障，因此匹配，</w:t>
      </w:r>
      <w:r>
        <w:rPr>
          <w:rFonts w:hint="eastAsia" w:ascii="宋体" w:hAnsi="宋体" w:eastAsia="宋体" w:cs="宋体"/>
          <w:color w:val="FF0000"/>
        </w:rPr>
        <w:t>②</w:t>
      </w:r>
      <w:r>
        <w:rPr>
          <w:rFonts w:ascii="Times New Roman" w:hAnsi="Times New Roman" w:cs="Times New Roman"/>
          <w:color w:val="FF0000"/>
        </w:rPr>
        <w:t>正确。</w:t>
      </w:r>
    </w:p>
    <w:p w14:paraId="1CA70D9C">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：“病有所医”指确保群众获得基本医疗保障，而“城乡居民基础养老金最低标准再提高20元”属于养老保障方面，不匹配，与医疗保障无关，</w:t>
      </w:r>
      <w:r>
        <w:rPr>
          <w:rFonts w:hint="eastAsia" w:ascii="宋体" w:hAnsi="宋体" w:eastAsia="宋体" w:cs="宋体"/>
          <w:color w:val="FF0000"/>
        </w:rPr>
        <w:t>③</w:t>
      </w:r>
      <w:r>
        <w:rPr>
          <w:rFonts w:ascii="Times New Roman" w:hAnsi="Times New Roman" w:cs="Times New Roman"/>
          <w:color w:val="FF0000"/>
        </w:rPr>
        <w:t>错误。</w:t>
      </w:r>
    </w:p>
    <w:p w14:paraId="4ED4F896">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：“老有所养”指为老年人提供养老保障（如养老金、养老服务）。延迟退休年龄是为了应对人口老龄化、确保养老金可持续性，但并非直接提供养老保障（如提高养老金或完善养老服务），不匹配，</w:t>
      </w:r>
      <w:r>
        <w:rPr>
          <w:rFonts w:hint="eastAsia" w:ascii="宋体" w:hAnsi="宋体" w:eastAsia="宋体" w:cs="宋体"/>
          <w:color w:val="FF0000"/>
        </w:rPr>
        <w:t>④</w:t>
      </w:r>
      <w:r>
        <w:rPr>
          <w:rFonts w:ascii="Times New Roman" w:hAnsi="Times New Roman" w:cs="Times New Roman"/>
          <w:color w:val="FF0000"/>
        </w:rPr>
        <w:t>错误。</w:t>
      </w:r>
    </w:p>
    <w:p w14:paraId="1AF151A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故本题选A。</w:t>
      </w:r>
    </w:p>
    <w:p w14:paraId="648A4FF2">
      <w:pPr>
        <w:spacing w:line="360" w:lineRule="auto"/>
        <w:rPr>
          <w:rFonts w:ascii="Times New Roman" w:hAnsi="Times New Roman" w:eastAsia="宋体" w:cs="Times New Roman"/>
          <w:b/>
          <w:bCs/>
        </w:rPr>
      </w:pPr>
      <w:r>
        <w:rPr>
          <w:rFonts w:ascii="Times New Roman" w:hAnsi="Times New Roman" w:eastAsia="宋体" w:cs="Times New Roman"/>
          <w:b/>
          <w:bCs/>
        </w:rPr>
        <w:t>二、选择题（本题共6个小题，每小题3分，共18分。在每小题给出的四个选项中，只有一项是符合题目要求的）</w:t>
      </w:r>
    </w:p>
    <w:p w14:paraId="1EAE9B02">
      <w:pPr>
        <w:spacing w:line="360" w:lineRule="auto"/>
        <w:ind w:left="420" w:hanging="420"/>
        <w:jc w:val="left"/>
        <w:textAlignment w:val="center"/>
        <w:rPr>
          <w:rFonts w:ascii="Times New Roman" w:hAnsi="Times New Roman" w:cs="Times New Roman"/>
        </w:rPr>
      </w:pPr>
      <w:r>
        <w:rPr>
          <w:rFonts w:ascii="Times New Roman" w:hAnsi="Times New Roman" w:cs="Times New Roman"/>
        </w:rPr>
        <w:t>18．2025年4月30日通过的《中华人民共和国民营经济促进法》将“毫不动摇巩固和发展公有制经济，毫不动摇鼓励、支持、引导非公有制经济发展”和“促进民营经济健康发展和民营经济人士健康成长”写入其中。该法的出台（</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462C0643">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科学合理配置了民营企业的权力与责任</w:t>
      </w:r>
    </w:p>
    <w:p w14:paraId="75C2E9DF">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能稳定民营经济发展预期、提振市场信心</w:t>
      </w:r>
    </w:p>
    <w:p w14:paraId="02BB0671">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有利于引导和规范民营经济组织的经营活动</w:t>
      </w:r>
    </w:p>
    <w:p w14:paraId="13A26496">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完善了法律体系，确保民营企业高质量发展</w:t>
      </w:r>
    </w:p>
    <w:p w14:paraId="56C82410">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②④</w:t>
      </w:r>
    </w:p>
    <w:p w14:paraId="454F4A58">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【答案】C</w:t>
      </w:r>
    </w:p>
    <w:p w14:paraId="7BD8C8E5">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：《中华人民共和国民营经济促进法》主要是从宏观层面鼓励、支持、引导民营经济发展，促进其健康发展等，并不是直接去科学合理配置民营企业内部的权力与责任，</w:t>
      </w:r>
      <w:r>
        <w:rPr>
          <w:rFonts w:hint="eastAsia" w:ascii="宋体" w:hAnsi="宋体" w:eastAsia="宋体" w:cs="宋体"/>
          <w:color w:val="FF0000"/>
        </w:rPr>
        <w:t>①</w:t>
      </w:r>
      <w:r>
        <w:rPr>
          <w:rFonts w:ascii="Times New Roman" w:hAnsi="Times New Roman" w:cs="Times New Roman"/>
          <w:color w:val="FF0000"/>
        </w:rPr>
        <w:t>排除。</w:t>
      </w:r>
    </w:p>
    <w:p w14:paraId="7A0BC3E8">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该法将“两个毫不动摇”以及促进民营经济健康发展等内容写入其中，以法律的形式为民营经济发展提供保障。这让民营经济主体感受到国家对民营经济的重视和支持，从而能稳定民营经济发展预期，让民营企业家对未来发展更有信心，提振市场信心，</w:t>
      </w:r>
      <w:r>
        <w:rPr>
          <w:rFonts w:hint="eastAsia" w:ascii="宋体" w:hAnsi="宋体" w:eastAsia="宋体" w:cs="宋体"/>
          <w:color w:val="FF0000"/>
        </w:rPr>
        <w:t>②</w:t>
      </w:r>
      <w:r>
        <w:rPr>
          <w:rFonts w:ascii="Times New Roman" w:hAnsi="Times New Roman" w:cs="Times New Roman"/>
          <w:color w:val="FF0000"/>
        </w:rPr>
        <w:t>正确。</w:t>
      </w:r>
    </w:p>
    <w:p w14:paraId="1F5BE12A">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：《中华人民共和国民营经济促进法》的出台，为民营经济组织的经营活动设定了法律框架和规范，引导民营经济组织在法律允许的范围内合法经营，有利于规范其经营活动，</w:t>
      </w:r>
      <w:r>
        <w:rPr>
          <w:rFonts w:hint="eastAsia" w:ascii="宋体" w:hAnsi="宋体" w:eastAsia="宋体" w:cs="宋体"/>
          <w:color w:val="FF0000"/>
        </w:rPr>
        <w:t>③</w:t>
      </w:r>
      <w:r>
        <w:rPr>
          <w:rFonts w:ascii="Times New Roman" w:hAnsi="Times New Roman" w:cs="Times New Roman"/>
          <w:color w:val="FF0000"/>
        </w:rPr>
        <w:t>正确。</w:t>
      </w:r>
    </w:p>
    <w:p w14:paraId="192EEBE8">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：该法完善了法律体系，但“确保”一词过于绝对，法律提供制度保障，但高质量发展还需市场、企业等多方努力，</w:t>
      </w:r>
      <w:r>
        <w:rPr>
          <w:rFonts w:hint="eastAsia" w:ascii="宋体" w:hAnsi="宋体" w:eastAsia="宋体" w:cs="宋体"/>
          <w:color w:val="FF0000"/>
        </w:rPr>
        <w:t>④</w:t>
      </w:r>
      <w:r>
        <w:rPr>
          <w:rFonts w:ascii="Times New Roman" w:hAnsi="Times New Roman" w:cs="Times New Roman"/>
          <w:color w:val="FF0000"/>
        </w:rPr>
        <w:t>排除。</w:t>
      </w:r>
    </w:p>
    <w:p w14:paraId="436312FA">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故本题选C</w:t>
      </w:r>
      <w:r>
        <w:rPr>
          <w:rFonts w:ascii="Times New Roman" w:hAnsi="Times New Roman" w:cs="Times New Roman"/>
          <w:color w:val="FF0000"/>
          <w:sz w:val="24"/>
        </w:rPr>
        <w:t>。</w:t>
      </w:r>
    </w:p>
    <w:p w14:paraId="36A675E6">
      <w:pPr>
        <w:spacing w:line="360" w:lineRule="auto"/>
        <w:ind w:left="420" w:hanging="420"/>
        <w:jc w:val="left"/>
        <w:textAlignment w:val="center"/>
        <w:rPr>
          <w:rFonts w:ascii="Times New Roman" w:hAnsi="Times New Roman" w:cs="Times New Roman"/>
        </w:rPr>
      </w:pPr>
      <w:r>
        <w:rPr>
          <w:rFonts w:ascii="Times New Roman" w:hAnsi="Times New Roman" w:cs="Times New Roman"/>
        </w:rPr>
        <w:t>19．某市建立联农带农机制：合作社在乡村建立蔬菜产业园，产品直供市内各单位食堂；村集体将农户闲置资源整合并办证确权合入股合作社；农户以土地经营权入股村集体项目；专业公司以现金入股合作社，负责提供技术、销售等服务。2024年全市村集体产业新增分红300多万元。该机制（</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4777F5D2">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建立了产供销一体化经营体系</w:t>
      </w:r>
    </w:p>
    <w:p w14:paraId="7C1ADA7A">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推动了科技与农业发展深度融合</w:t>
      </w:r>
    </w:p>
    <w:p w14:paraId="35CBCD35">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通过土地经营权入股增加了农户经营性收入</w:t>
      </w:r>
    </w:p>
    <w:p w14:paraId="2F9861F8">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通过确权将土地由集体所有变更为公司所有</w:t>
      </w:r>
    </w:p>
    <w:p w14:paraId="4F4B8CAA">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②④</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36489EE9">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【答案】A</w:t>
      </w:r>
    </w:p>
    <w:p w14:paraId="20A66ED7">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：材料中提到 “合作社在乡村建立蔬菜产业园，产品直供市内各单位食堂”，合作社负责生产（建立蔬菜产业园 ），同时直接供应产品（直供市内各单位食堂 ），这体现了生产、供应（销售环节的一部分 ）的衔接，在一定程度上建立了产供销一体化经营体系，</w:t>
      </w:r>
      <w:r>
        <w:rPr>
          <w:rFonts w:hint="eastAsia" w:ascii="宋体" w:hAnsi="宋体" w:eastAsia="宋体" w:cs="宋体"/>
          <w:color w:val="FF0000"/>
        </w:rPr>
        <w:t>①</w:t>
      </w:r>
      <w:r>
        <w:rPr>
          <w:rFonts w:ascii="Times New Roman" w:hAnsi="Times New Roman" w:cs="Times New Roman"/>
          <w:color w:val="FF0000"/>
        </w:rPr>
        <w:t>符合题意。</w:t>
      </w:r>
    </w:p>
    <w:p w14:paraId="1BD99C00">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：因为“专业公司以现金入股合作社，负责提供技术、销售等服务”，专业公司提供技术服务到农业生产中，这有利于推动科技与农业发展深度融合，促进农业的现代化发展，</w:t>
      </w:r>
      <w:r>
        <w:rPr>
          <w:rFonts w:hint="eastAsia" w:ascii="宋体" w:hAnsi="宋体" w:eastAsia="宋体" w:cs="宋体"/>
          <w:color w:val="FF0000"/>
        </w:rPr>
        <w:t>②</w:t>
      </w:r>
      <w:r>
        <w:rPr>
          <w:rFonts w:ascii="Times New Roman" w:hAnsi="Times New Roman" w:cs="Times New Roman"/>
          <w:color w:val="FF0000"/>
        </w:rPr>
        <w:t>符合题意。</w:t>
      </w:r>
    </w:p>
    <w:p w14:paraId="5189EF93">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：经营性收入是指通过生产经营活动所获得的收入。农户以土地经营权入股村集体项目，农户获得的是按股分红等收入，这属于财产性收入，而不是经营性收入，</w:t>
      </w:r>
      <w:r>
        <w:rPr>
          <w:rFonts w:hint="eastAsia" w:ascii="宋体" w:hAnsi="宋体" w:eastAsia="宋体" w:cs="宋体"/>
          <w:color w:val="FF0000"/>
        </w:rPr>
        <w:t>③</w:t>
      </w:r>
      <w:r>
        <w:rPr>
          <w:rFonts w:ascii="Times New Roman" w:hAnsi="Times New Roman" w:cs="Times New Roman"/>
          <w:color w:val="FF0000"/>
        </w:rPr>
        <w:t>说法错误。</w:t>
      </w:r>
    </w:p>
    <w:p w14:paraId="6D2AC4CC">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：我国农村土地实行集体所有制。村集体将农户闲置资源整合并办证确权合入股合作社，这里的确权是对农户土地经营权等相关权益的确权，土地的所有权依然是集体所有，并没有变更为公司所有，</w:t>
      </w:r>
      <w:r>
        <w:rPr>
          <w:rFonts w:hint="eastAsia" w:ascii="宋体" w:hAnsi="宋体" w:eastAsia="宋体" w:cs="宋体"/>
          <w:color w:val="FF0000"/>
        </w:rPr>
        <w:t>④</w:t>
      </w:r>
      <w:r>
        <w:rPr>
          <w:rFonts w:ascii="Times New Roman" w:hAnsi="Times New Roman" w:cs="Times New Roman"/>
          <w:color w:val="FF0000"/>
        </w:rPr>
        <w:t>说法错误。</w:t>
      </w:r>
    </w:p>
    <w:p w14:paraId="2FEC2254">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故本题选A。</w:t>
      </w:r>
    </w:p>
    <w:p w14:paraId="5E14B3BA">
      <w:pPr>
        <w:spacing w:line="360" w:lineRule="auto"/>
        <w:ind w:left="420" w:hanging="420"/>
        <w:jc w:val="left"/>
        <w:textAlignment w:val="center"/>
        <w:rPr>
          <w:rFonts w:ascii="Times New Roman" w:hAnsi="Times New Roman" w:cs="Times New Roman"/>
        </w:rPr>
      </w:pPr>
      <w:r>
        <w:rPr>
          <w:rFonts w:ascii="Times New Roman" w:hAnsi="Times New Roman" w:cs="Times New Roman"/>
        </w:rPr>
        <w:t>20．2025年3月，福建省发布《促进首发经济高质量发展的若干措施》，支持打造“福品首发”平台，聚焦地理标志产品、国货国潮等地方特色福品，对符合条件的福品展示中心项目给予最高不超过100万元奖励，助力打造国内外品牌首发、首秀、首展、首店的集聚高地和原创品牌孵化地。这表明政府通过（</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2019525A">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科学调控，发展品牌经济</w:t>
      </w:r>
    </w:p>
    <w:p w14:paraId="6F511917">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有效治理，规范市场秩序</w:t>
      </w:r>
    </w:p>
    <w:p w14:paraId="117ECB25">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财政政策，释放消费潜力</w:t>
      </w:r>
    </w:p>
    <w:p w14:paraId="26D1E17C">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货币政策，支持商贸发展</w:t>
      </w:r>
    </w:p>
    <w:p w14:paraId="6AAFBD12">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②④</w:t>
      </w:r>
    </w:p>
    <w:p w14:paraId="2B48F02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【答案】A</w:t>
      </w:r>
    </w:p>
    <w:p w14:paraId="2632BF37">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①③</w:t>
      </w:r>
      <w:r>
        <w:rPr>
          <w:rFonts w:ascii="Times New Roman" w:hAnsi="Times New Roman" w:cs="Times New Roman"/>
          <w:color w:val="FF0000"/>
        </w:rPr>
        <w:t>：福建省对符合条件的福品展示中心项目给予最高不超过100万元奖励，助力打造国内外品牌首发、首秀、首展、首店的集聚高地和原创品牌孵化地，这里的“100万元”属于财政资金，该政策旨在通过实施积极的财政政策这一宏观调控手段，发展品牌经济，大力提振消费，</w:t>
      </w:r>
      <w:r>
        <w:rPr>
          <w:rFonts w:hint="eastAsia" w:ascii="宋体" w:hAnsi="宋体" w:eastAsia="宋体" w:cs="宋体"/>
          <w:color w:val="FF0000"/>
        </w:rPr>
        <w:t>①③</w:t>
      </w:r>
      <w:r>
        <w:rPr>
          <w:rFonts w:ascii="Times New Roman" w:hAnsi="Times New Roman" w:cs="Times New Roman"/>
          <w:color w:val="FF0000"/>
        </w:rPr>
        <w:t>正确。</w:t>
      </w:r>
    </w:p>
    <w:p w14:paraId="72988928">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②④</w:t>
      </w:r>
      <w:r>
        <w:rPr>
          <w:rFonts w:ascii="Times New Roman" w:hAnsi="Times New Roman" w:cs="Times New Roman"/>
          <w:color w:val="FF0000"/>
        </w:rPr>
        <w:t>：福建省对符合条件的福品展示中心项目给予最高不超过100万元奖励，这不涉及规范市场秩序，也不属于货币政策，</w:t>
      </w:r>
      <w:r>
        <w:rPr>
          <w:rFonts w:hint="eastAsia" w:ascii="宋体" w:hAnsi="宋体" w:eastAsia="宋体" w:cs="宋体"/>
          <w:color w:val="FF0000"/>
        </w:rPr>
        <w:t>②④</w:t>
      </w:r>
      <w:r>
        <w:rPr>
          <w:rFonts w:ascii="Times New Roman" w:hAnsi="Times New Roman" w:cs="Times New Roman"/>
          <w:color w:val="FF0000"/>
        </w:rPr>
        <w:t>不选。</w:t>
      </w:r>
    </w:p>
    <w:p w14:paraId="403959C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故本题选A。</w:t>
      </w:r>
    </w:p>
    <w:p w14:paraId="393B59F0">
      <w:pPr>
        <w:spacing w:line="360" w:lineRule="auto"/>
        <w:ind w:left="420" w:hanging="420"/>
        <w:jc w:val="left"/>
        <w:textAlignment w:val="center"/>
        <w:rPr>
          <w:rFonts w:ascii="Times New Roman" w:hAnsi="Times New Roman" w:cs="Times New Roman"/>
        </w:rPr>
      </w:pPr>
      <w:r>
        <w:rPr>
          <w:rFonts w:ascii="Times New Roman" w:hAnsi="Times New Roman" w:cs="Times New Roman"/>
        </w:rPr>
        <w:t>21．某地在乡村振兴中打造“党建链”串联“产业链”、共建“致富链”的新模式，划分2043个党群共富责任区，组建41个产业联合党委，构建“党支部+科研院所+龙头企业+合作社+农户”协同发展机制，发展特色农业，带动了农民大幅增收。该模式的优势在于（</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10BC0748">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党建赋能，为乡村自治提供方向保证</w:t>
      </w:r>
      <w:r>
        <w:rPr>
          <w:rFonts w:ascii="Times New Roman" w:hAnsi="Times New Roman" w:eastAsia="Times New Roman" w:cs="Times New Roman"/>
          <w:kern w:val="0"/>
          <w:sz w:val="24"/>
          <w:szCs w:val="24"/>
        </w:rPr>
        <w:t xml:space="preserve">        </w:t>
      </w:r>
    </w:p>
    <w:p w14:paraId="6AE91800">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民主决策，凝聚乡村发展的强大合力</w:t>
      </w:r>
    </w:p>
    <w:p w14:paraId="0DEDF8CF">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以民为本，实现发展成果由村民共享</w:t>
      </w:r>
      <w:r>
        <w:rPr>
          <w:rFonts w:ascii="Times New Roman" w:hAnsi="Times New Roman" w:eastAsia="Times New Roman" w:cs="Times New Roman"/>
          <w:kern w:val="0"/>
          <w:sz w:val="24"/>
          <w:szCs w:val="24"/>
        </w:rPr>
        <w:t xml:space="preserve">        </w:t>
      </w:r>
    </w:p>
    <w:p w14:paraId="1089C8D8">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解放思想，拓宽乡村产业振兴的路径</w:t>
      </w:r>
    </w:p>
    <w:p w14:paraId="4D817103">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②④</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3217F245">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【答案】D</w:t>
      </w:r>
    </w:p>
    <w:p w14:paraId="0F8D153D">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：材料强调的是通过党建引领产业发展带动农民增收，重点在于产业发展与增收，而非乡村自治，</w:t>
      </w:r>
      <w:r>
        <w:rPr>
          <w:rFonts w:hint="eastAsia" w:ascii="宋体" w:hAnsi="宋体" w:eastAsia="宋体" w:cs="宋体"/>
          <w:color w:val="FF0000"/>
        </w:rPr>
        <w:t>①</w:t>
      </w:r>
      <w:r>
        <w:rPr>
          <w:rFonts w:ascii="Times New Roman" w:hAnsi="Times New Roman" w:cs="Times New Roman"/>
          <w:color w:val="FF0000"/>
        </w:rPr>
        <w:t>不符合题意。</w:t>
      </w:r>
    </w:p>
    <w:p w14:paraId="59EB7953">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：材料主要强调是党建引领下的产业发展模式，而材料并未体现民主决策相关内容，</w:t>
      </w:r>
      <w:r>
        <w:rPr>
          <w:rFonts w:hint="eastAsia" w:ascii="宋体" w:hAnsi="宋体" w:eastAsia="宋体" w:cs="宋体"/>
          <w:color w:val="FF0000"/>
        </w:rPr>
        <w:t>②</w:t>
      </w:r>
      <w:r>
        <w:rPr>
          <w:rFonts w:ascii="Times New Roman" w:hAnsi="Times New Roman" w:cs="Times New Roman"/>
          <w:color w:val="FF0000"/>
        </w:rPr>
        <w:t>不符合题意。</w:t>
      </w:r>
    </w:p>
    <w:p w14:paraId="0DF412C3">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：某地在乡村振兴中打造“党建链”串联“产业链”、共建“致富链”的新模式，该模式发展特色农业带动农民大幅增收，体现了以人民为中心，实现发展成果由村民共享，</w:t>
      </w:r>
      <w:r>
        <w:rPr>
          <w:rFonts w:hint="eastAsia" w:ascii="宋体" w:hAnsi="宋体" w:eastAsia="宋体" w:cs="宋体"/>
          <w:color w:val="FF0000"/>
        </w:rPr>
        <w:t>③</w:t>
      </w:r>
      <w:r>
        <w:rPr>
          <w:rFonts w:ascii="Times New Roman" w:hAnsi="Times New Roman" w:cs="Times New Roman"/>
          <w:color w:val="FF0000"/>
        </w:rPr>
        <w:t>正确。</w:t>
      </w:r>
    </w:p>
    <w:p w14:paraId="2E5E6B6A">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：某地在乡村振兴中打造“党建链”串联“产业链”、共建“致富链”的新模式，构建“党支部＋科研院所＋龙头企业＋合作社＋农户”协同发展机制，体现了解放思想，拓宽了乡村产业振兴的路径，</w:t>
      </w:r>
      <w:r>
        <w:rPr>
          <w:rFonts w:hint="eastAsia" w:ascii="宋体" w:hAnsi="宋体" w:eastAsia="宋体" w:cs="宋体"/>
          <w:color w:val="FF0000"/>
        </w:rPr>
        <w:t>④</w:t>
      </w:r>
      <w:r>
        <w:rPr>
          <w:rFonts w:ascii="Times New Roman" w:hAnsi="Times New Roman" w:cs="Times New Roman"/>
          <w:color w:val="FF0000"/>
        </w:rPr>
        <w:t>正确。</w:t>
      </w:r>
    </w:p>
    <w:p w14:paraId="48C53EA8">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故本题选D。</w:t>
      </w:r>
    </w:p>
    <w:p w14:paraId="589E5B1D">
      <w:pPr>
        <w:spacing w:line="360" w:lineRule="auto"/>
        <w:ind w:left="420" w:hanging="420"/>
        <w:jc w:val="left"/>
        <w:textAlignment w:val="center"/>
        <w:rPr>
          <w:rFonts w:ascii="Times New Roman" w:hAnsi="Times New Roman" w:cs="Times New Roman"/>
        </w:rPr>
      </w:pPr>
      <w:r>
        <w:rPr>
          <w:rFonts w:ascii="Times New Roman" w:hAnsi="Times New Roman" w:cs="Times New Roman"/>
        </w:rPr>
        <w:t>22．2025年2月以来，我国铁路部门有效整合交通和文旅资源，增开了多趟银发主题旅游列车，通过对列车进行适老化改造，配备专业医护人员，提供“管家式”服务，精准回应老年群体的旅游需求，顺应银发消费升级趋势。这蕴含的经济逻辑有（</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61374C1A">
      <w:pPr>
        <w:spacing w:line="360" w:lineRule="auto"/>
        <w:ind w:left="420"/>
        <w:jc w:val="center"/>
        <w:textAlignment w:val="center"/>
        <w:rPr>
          <w:rFonts w:ascii="Times New Roman" w:hAnsi="Times New Roman" w:cs="Times New Roman"/>
        </w:rPr>
      </w:pPr>
      <w:r>
        <w:rPr>
          <w:rFonts w:ascii="Times New Roman" w:hAnsi="Times New Roman" w:eastAsia="Times New Roman" w:cs="Times New Roman"/>
          <w:kern w:val="0"/>
          <w:sz w:val="24"/>
          <w:szCs w:val="24"/>
        </w:rPr>
        <w:drawing>
          <wp:inline distT="0" distB="0" distL="114300" distR="114300">
            <wp:extent cx="3152775" cy="2419350"/>
            <wp:effectExtent l="0" t="0" r="1905" b="3810"/>
            <wp:docPr id="100005" name="图片 100005" descr="学科网 tzp+jWwOwd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 tzp+jWwOwdDNAx1ODbqMbQ=="/>
                    <pic:cNvPicPr>
                      <a:picLocks noChangeAspect="1"/>
                    </pic:cNvPicPr>
                  </pic:nvPicPr>
                  <pic:blipFill>
                    <a:blip r:embed="rId12"/>
                    <a:stretch>
                      <a:fillRect/>
                    </a:stretch>
                  </pic:blipFill>
                  <pic:spPr>
                    <a:xfrm>
                      <a:off x="0" y="0"/>
                      <a:ext cx="3152775" cy="2419350"/>
                    </a:xfrm>
                    <a:prstGeom prst="rect">
                      <a:avLst/>
                    </a:prstGeom>
                  </pic:spPr>
                </pic:pic>
              </a:graphicData>
            </a:graphic>
          </wp:inline>
        </w:drawing>
      </w:r>
    </w:p>
    <w:p w14:paraId="68BE3BFE">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消费场景创新培育服务消费新业态</w:t>
      </w:r>
    </w:p>
    <w:p w14:paraId="04EED8E9">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服务供给扩大满足银发市场新需求</w:t>
      </w:r>
    </w:p>
    <w:p w14:paraId="3FBDDD74">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适老化改造提高基本养老服务供给水平</w:t>
      </w:r>
    </w:p>
    <w:p w14:paraId="5ED4A80B">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服务品质提升增强老年人消费能力和意愿</w:t>
      </w:r>
    </w:p>
    <w:p w14:paraId="52FCC06E">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3962A4F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【答案】A</w:t>
      </w:r>
    </w:p>
    <w:p w14:paraId="28CF583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：铁路部门整合资源，增开银发主题旅游列车，创新了消费场景，培育了服务消费新业态，</w:t>
      </w:r>
      <w:r>
        <w:rPr>
          <w:rFonts w:hint="eastAsia" w:ascii="宋体" w:hAnsi="宋体" w:eastAsia="宋体" w:cs="宋体"/>
          <w:color w:val="FF0000"/>
        </w:rPr>
        <w:t>①</w:t>
      </w:r>
      <w:r>
        <w:rPr>
          <w:rFonts w:ascii="Times New Roman" w:hAnsi="Times New Roman" w:cs="Times New Roman"/>
          <w:color w:val="FF0000"/>
        </w:rPr>
        <w:t>正确。</w:t>
      </w:r>
    </w:p>
    <w:p w14:paraId="161F2FE0">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：通过对列车适老化改造、配备医护人员等扩大服务供给，精准回应老年群体旅游需求，满足银发市场新需求，</w:t>
      </w:r>
      <w:r>
        <w:rPr>
          <w:rFonts w:hint="eastAsia" w:ascii="宋体" w:hAnsi="宋体" w:eastAsia="宋体" w:cs="宋体"/>
          <w:color w:val="FF0000"/>
        </w:rPr>
        <w:t>②</w:t>
      </w:r>
      <w:r>
        <w:rPr>
          <w:rFonts w:ascii="Times New Roman" w:hAnsi="Times New Roman" w:cs="Times New Roman"/>
          <w:color w:val="FF0000"/>
        </w:rPr>
        <w:t>正确。</w:t>
      </w:r>
    </w:p>
    <w:p w14:paraId="16A0CFC2">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：增开旅游列车属于旅游消费服务，并非基本养老服务，</w:t>
      </w:r>
      <w:r>
        <w:rPr>
          <w:rFonts w:hint="eastAsia" w:ascii="宋体" w:hAnsi="宋体" w:eastAsia="宋体" w:cs="宋体"/>
          <w:color w:val="FF0000"/>
        </w:rPr>
        <w:t>③</w:t>
      </w:r>
      <w:r>
        <w:rPr>
          <w:rFonts w:ascii="Times New Roman" w:hAnsi="Times New Roman" w:cs="Times New Roman"/>
          <w:color w:val="FF0000"/>
        </w:rPr>
        <w:t>排除。</w:t>
      </w:r>
    </w:p>
    <w:p w14:paraId="7F32BC0B">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：服务品质提升能增强老年人消费意愿，但不能直接增强其消费能力，消费能力主要受收入等因素影响，</w:t>
      </w:r>
      <w:r>
        <w:rPr>
          <w:rFonts w:hint="eastAsia" w:ascii="宋体" w:hAnsi="宋体" w:eastAsia="宋体" w:cs="宋体"/>
          <w:color w:val="FF0000"/>
        </w:rPr>
        <w:t>④</w:t>
      </w:r>
      <w:r>
        <w:rPr>
          <w:rFonts w:ascii="Times New Roman" w:hAnsi="Times New Roman" w:cs="Times New Roman"/>
          <w:color w:val="FF0000"/>
        </w:rPr>
        <w:t>排除。</w:t>
      </w:r>
    </w:p>
    <w:p w14:paraId="5B7E0520">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故本题选A。</w:t>
      </w:r>
    </w:p>
    <w:p w14:paraId="1EBD08AC">
      <w:pPr>
        <w:spacing w:line="360" w:lineRule="auto"/>
        <w:ind w:left="420" w:hanging="420"/>
        <w:jc w:val="left"/>
        <w:textAlignment w:val="center"/>
        <w:rPr>
          <w:rFonts w:ascii="Times New Roman" w:hAnsi="Times New Roman" w:cs="Times New Roman"/>
        </w:rPr>
      </w:pPr>
      <w:r>
        <w:rPr>
          <w:rFonts w:ascii="Times New Roman" w:hAnsi="Times New Roman" w:cs="Times New Roman"/>
        </w:rPr>
        <w:t>23．根据下图反映的经济信息，以下推断合理的是（</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360134D1">
      <w:pPr>
        <w:spacing w:line="360" w:lineRule="auto"/>
        <w:ind w:left="420"/>
        <w:jc w:val="center"/>
        <w:textAlignment w:val="center"/>
        <w:rPr>
          <w:rFonts w:ascii="Times New Roman" w:hAnsi="Times New Roman" w:cs="Times New Roman"/>
        </w:rPr>
      </w:pPr>
      <w:r>
        <w:rPr>
          <w:rFonts w:ascii="Times New Roman" w:hAnsi="Times New Roman" w:eastAsia="Times New Roman" w:cs="Times New Roman"/>
          <w:kern w:val="0"/>
          <w:sz w:val="24"/>
          <w:szCs w:val="24"/>
        </w:rPr>
        <w:drawing>
          <wp:inline distT="0" distB="0" distL="114300" distR="114300">
            <wp:extent cx="4619625" cy="1619250"/>
            <wp:effectExtent l="0" t="0" r="13335" b="11430"/>
            <wp:docPr id="100007" name="图片 100007" descr="学科网 tzp+jWwOwd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 tzp+jWwOwdDNAx1ODbqMbQ=="/>
                    <pic:cNvPicPr>
                      <a:picLocks noChangeAspect="1"/>
                    </pic:cNvPicPr>
                  </pic:nvPicPr>
                  <pic:blipFill>
                    <a:blip r:embed="rId13"/>
                    <a:stretch>
                      <a:fillRect/>
                    </a:stretch>
                  </pic:blipFill>
                  <pic:spPr>
                    <a:xfrm>
                      <a:off x="0" y="0"/>
                      <a:ext cx="4619625" cy="1619250"/>
                    </a:xfrm>
                    <a:prstGeom prst="rect">
                      <a:avLst/>
                    </a:prstGeom>
                  </pic:spPr>
                </pic:pic>
              </a:graphicData>
            </a:graphic>
          </wp:inline>
        </w:drawing>
      </w:r>
    </w:p>
    <w:p w14:paraId="482ED8F8">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农村居民收入比城镇居民收入更依赖于国民收入的再分配</w:t>
      </w:r>
    </w:p>
    <w:p w14:paraId="737125C9">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城镇居民的按劳分配收入在收入分配中占比高于农村居民</w:t>
      </w:r>
    </w:p>
    <w:p w14:paraId="5A2DFFD0">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城镇居民收入比农村居民收入更容易受到就业情况的影响</w:t>
      </w:r>
    </w:p>
    <w:p w14:paraId="57A096E6">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提高农村居民财产性收入占比可以缩小城乡居民收入差距</w:t>
      </w:r>
    </w:p>
    <w:p w14:paraId="76F971E4">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②④</w:t>
      </w:r>
    </w:p>
    <w:p w14:paraId="5A11C14B">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【答案】A</w:t>
      </w:r>
    </w:p>
    <w:p w14:paraId="039E288B">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：转移净收入属于国民收入再分配。农村居民转移净收入占比21.01％，城镇居民转移净收入占比17.76％，所以农村居民收入比城镇居民收入更依赖国民收入再分配，</w:t>
      </w:r>
      <w:r>
        <w:rPr>
          <w:rFonts w:hint="eastAsia" w:ascii="宋体" w:hAnsi="宋体" w:eastAsia="宋体" w:cs="宋体"/>
          <w:color w:val="FF0000"/>
        </w:rPr>
        <w:t>①</w:t>
      </w:r>
      <w:r>
        <w:rPr>
          <w:rFonts w:ascii="Times New Roman" w:hAnsi="Times New Roman" w:cs="Times New Roman"/>
          <w:color w:val="FF0000"/>
        </w:rPr>
        <w:t>符合题意。</w:t>
      </w:r>
    </w:p>
    <w:p w14:paraId="426D04CB">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：按劳分配是公有制经济范围内的工资、奖金和津贴。工资性收入不一定都来自按劳分配，因此仅从城镇居民和农村居民的工资性收入占比不能简单的得出城镇居民按劳分配收入占比高于农村居民，</w:t>
      </w:r>
      <w:r>
        <w:rPr>
          <w:rFonts w:hint="eastAsia" w:ascii="宋体" w:hAnsi="宋体" w:eastAsia="宋体" w:cs="宋体"/>
          <w:color w:val="FF0000"/>
        </w:rPr>
        <w:t>②</w:t>
      </w:r>
      <w:r>
        <w:rPr>
          <w:rFonts w:ascii="Times New Roman" w:hAnsi="Times New Roman" w:cs="Times New Roman"/>
          <w:color w:val="FF0000"/>
        </w:rPr>
        <w:t>不符合题意。</w:t>
      </w:r>
    </w:p>
    <w:p w14:paraId="0E225322">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：工资性收入受就业情况影响大。城镇居民工资性收入占比60.44％远高于农村居民的42.24％，所以城镇居民收入比农村居民收入更容易受到就业情况影响，</w:t>
      </w:r>
      <w:r>
        <w:rPr>
          <w:rFonts w:hint="eastAsia" w:ascii="宋体" w:hAnsi="宋体" w:eastAsia="宋体" w:cs="宋体"/>
          <w:color w:val="FF0000"/>
        </w:rPr>
        <w:t>③</w:t>
      </w:r>
      <w:r>
        <w:rPr>
          <w:rFonts w:ascii="Times New Roman" w:hAnsi="Times New Roman" w:cs="Times New Roman"/>
          <w:color w:val="FF0000"/>
        </w:rPr>
        <w:t>符合题意。</w:t>
      </w:r>
    </w:p>
    <w:p w14:paraId="12E4F287">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城乡居民收入差距是总体收入的差距。农村居民财产净收入占比2.49％，城镇居民财产净收入占比10.41％，提高农村居民财产性收入占比，会使农村居民收入结构中财产性收入增加，但不一定能缩小城乡居民收入差距，</w:t>
      </w:r>
      <w:r>
        <w:rPr>
          <w:rFonts w:hint="eastAsia" w:ascii="宋体" w:hAnsi="宋体" w:eastAsia="宋体" w:cs="宋体"/>
          <w:color w:val="FF0000"/>
        </w:rPr>
        <w:t>④</w:t>
      </w:r>
      <w:r>
        <w:rPr>
          <w:rFonts w:ascii="Times New Roman" w:hAnsi="Times New Roman" w:cs="Times New Roman"/>
          <w:color w:val="FF0000"/>
        </w:rPr>
        <w:t>不符合题意。</w:t>
      </w:r>
    </w:p>
    <w:p w14:paraId="0FB0BEA3">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故本题选A。</w:t>
      </w:r>
    </w:p>
    <w:p w14:paraId="5BDBB710">
      <w:pPr>
        <w:spacing w:line="360" w:lineRule="auto"/>
        <w:ind w:left="420"/>
        <w:jc w:val="center"/>
        <w:rPr>
          <w:rFonts w:ascii="Times New Roman" w:hAnsi="Times New Roman" w:cs="Times New Roman"/>
          <w:b/>
          <w:bCs/>
          <w:sz w:val="24"/>
          <w:szCs w:val="28"/>
        </w:rPr>
      </w:pPr>
    </w:p>
    <w:p w14:paraId="404F013A">
      <w:pPr>
        <w:spacing w:line="360" w:lineRule="auto"/>
        <w:ind w:left="420"/>
        <w:jc w:val="center"/>
        <w:rPr>
          <w:rFonts w:ascii="Times New Roman" w:hAnsi="Times New Roman" w:cs="Times New Roman"/>
          <w:b/>
          <w:bCs/>
          <w:sz w:val="24"/>
          <w:szCs w:val="28"/>
        </w:rPr>
      </w:pPr>
      <w:r>
        <w:rPr>
          <w:rFonts w:ascii="Times New Roman" w:hAnsi="Times New Roman" w:cs="Times New Roman"/>
          <w:b/>
          <w:bCs/>
          <w:sz w:val="24"/>
          <w:szCs w:val="28"/>
        </w:rPr>
        <w:t>第II卷（非选择题 48分）</w:t>
      </w:r>
    </w:p>
    <w:p w14:paraId="3980F2FB">
      <w:pPr>
        <w:numPr>
          <w:ilvl w:val="0"/>
          <w:numId w:val="1"/>
        </w:numPr>
        <w:spacing w:line="360" w:lineRule="auto"/>
        <w:ind w:left="420"/>
        <w:rPr>
          <w:rFonts w:ascii="Times New Roman" w:hAnsi="Times New Roman" w:eastAsia="宋体" w:cs="Times New Roman"/>
          <w:b/>
          <w:bCs/>
        </w:rPr>
      </w:pPr>
      <w:r>
        <w:rPr>
          <w:rFonts w:ascii="Times New Roman" w:hAnsi="Times New Roman" w:eastAsia="宋体" w:cs="Times New Roman"/>
          <w:b/>
          <w:bCs/>
        </w:rPr>
        <w:t>综合题（本题共5小题，共48分）</w:t>
      </w:r>
    </w:p>
    <w:p w14:paraId="3CCDD8F1">
      <w:pPr>
        <w:spacing w:line="360" w:lineRule="auto"/>
        <w:ind w:left="420" w:hanging="420"/>
        <w:jc w:val="left"/>
        <w:textAlignment w:val="center"/>
        <w:rPr>
          <w:rFonts w:ascii="Times New Roman" w:hAnsi="Times New Roman" w:cs="Times New Roman"/>
        </w:rPr>
      </w:pPr>
      <w:r>
        <w:rPr>
          <w:rFonts w:ascii="Times New Roman" w:hAnsi="Times New Roman" w:cs="Times New Roman"/>
        </w:rPr>
        <w:t>24．</w:t>
      </w:r>
      <w:r>
        <w:rPr>
          <w:rFonts w:ascii="Times New Roman" w:hAnsi="Times New Roman" w:eastAsia="楷体" w:cs="Times New Roman"/>
        </w:rPr>
        <w:t>某校高一学生围绕</w:t>
      </w:r>
      <w:r>
        <w:rPr>
          <w:rFonts w:ascii="Times New Roman" w:hAnsi="Times New Roman" w:cs="Times New Roman"/>
        </w:rPr>
        <w:t>“</w:t>
      </w:r>
      <w:r>
        <w:rPr>
          <w:rFonts w:ascii="Times New Roman" w:hAnsi="Times New Roman" w:eastAsia="楷体" w:cs="Times New Roman"/>
        </w:rPr>
        <w:t>司法为民</w:t>
      </w:r>
      <w:r>
        <w:rPr>
          <w:rFonts w:ascii="Times New Roman" w:hAnsi="Times New Roman" w:cs="Times New Roman"/>
        </w:rPr>
        <w:t>”</w:t>
      </w:r>
      <w:r>
        <w:rPr>
          <w:rFonts w:ascii="Times New Roman" w:hAnsi="Times New Roman" w:eastAsia="楷体" w:cs="Times New Roman"/>
        </w:rPr>
        <w:t>开展综合探究，通过查阅2024年最高人民法院工作报告及相关资料，整理出如下材料</w:t>
      </w:r>
      <w:r>
        <w:rPr>
          <w:rFonts w:ascii="Times New Roman" w:hAnsi="Times New Roman" w:cs="Times New Roman"/>
        </w:rPr>
        <w:t>：</w:t>
      </w:r>
    </w:p>
    <w:p w14:paraId="76CA476A">
      <w:pPr>
        <w:spacing w:line="360" w:lineRule="auto"/>
        <w:ind w:left="420"/>
        <w:jc w:val="left"/>
        <w:textAlignment w:val="center"/>
        <w:rPr>
          <w:rFonts w:ascii="Times New Roman" w:hAnsi="Times New Roman" w:cs="Times New Roman"/>
        </w:rPr>
      </w:pPr>
      <w:r>
        <w:rPr>
          <w:rFonts w:ascii="Times New Roman" w:hAnsi="Times New Roman" w:eastAsia="楷体" w:cs="Times New Roman"/>
        </w:rPr>
        <w:t>材料一</w:t>
      </w:r>
      <w:r>
        <w:rPr>
          <w:rFonts w:ascii="Times New Roman" w:hAnsi="Times New Roman" w:eastAsia="Times New Roman" w:cs="Times New Roman"/>
          <w:kern w:val="0"/>
          <w:sz w:val="24"/>
          <w:szCs w:val="24"/>
        </w:rPr>
        <w:t xml:space="preserve">  </w:t>
      </w:r>
      <w:r>
        <w:rPr>
          <w:rFonts w:ascii="Times New Roman" w:hAnsi="Times New Roman" w:eastAsia="楷体" w:cs="Times New Roman"/>
        </w:rPr>
        <w:t>严厉打击敌对势力渗透、破坏、颠覆、分裂活动，依法严惩重大恶性犯罪，审结严重暴力犯罪案件5.2万件。</w:t>
      </w:r>
    </w:p>
    <w:p w14:paraId="4E76BBDE">
      <w:pPr>
        <w:spacing w:line="360" w:lineRule="auto"/>
        <w:ind w:left="420"/>
        <w:jc w:val="left"/>
        <w:textAlignment w:val="center"/>
        <w:rPr>
          <w:rFonts w:ascii="Times New Roman" w:hAnsi="Times New Roman" w:cs="Times New Roman"/>
        </w:rPr>
      </w:pPr>
      <w:r>
        <w:rPr>
          <w:rFonts w:ascii="Times New Roman" w:hAnsi="Times New Roman" w:eastAsia="楷体" w:cs="Times New Roman"/>
        </w:rPr>
        <w:t>▲坚持罪刑法定、疑罪从无，依法纠正冤错案件，对465名公诉案件被告人依法宣告无罪。</w:t>
      </w:r>
    </w:p>
    <w:p w14:paraId="7484D470">
      <w:pPr>
        <w:spacing w:line="360" w:lineRule="auto"/>
        <w:ind w:left="420"/>
        <w:jc w:val="left"/>
        <w:textAlignment w:val="center"/>
        <w:rPr>
          <w:rFonts w:ascii="Times New Roman" w:hAnsi="Times New Roman" w:cs="Times New Roman"/>
        </w:rPr>
      </w:pPr>
      <w:r>
        <w:rPr>
          <w:rFonts w:ascii="Times New Roman" w:hAnsi="Times New Roman" w:eastAsia="楷体" w:cs="Times New Roman"/>
        </w:rPr>
        <w:t>▲贯彻实施好民法典，用心办好百姓身边案，审结涉教育、就业等民生案件539万多件，以公正司法保障和增进民生福祉。</w:t>
      </w:r>
    </w:p>
    <w:p w14:paraId="3025E17A">
      <w:pPr>
        <w:spacing w:line="360" w:lineRule="auto"/>
        <w:ind w:left="420"/>
        <w:jc w:val="left"/>
        <w:textAlignment w:val="center"/>
        <w:rPr>
          <w:rFonts w:ascii="Times New Roman" w:hAnsi="Times New Roman" w:cs="Times New Roman"/>
        </w:rPr>
      </w:pPr>
      <w:r>
        <w:rPr>
          <w:rFonts w:ascii="Times New Roman" w:hAnsi="Times New Roman" w:eastAsia="楷体" w:cs="Times New Roman"/>
        </w:rPr>
        <w:t>材料二</w:t>
      </w:r>
      <w:r>
        <w:rPr>
          <w:rFonts w:ascii="Times New Roman" w:hAnsi="Times New Roman" w:eastAsia="Times New Roman" w:cs="Times New Roman"/>
          <w:kern w:val="0"/>
          <w:sz w:val="24"/>
          <w:szCs w:val="24"/>
        </w:rPr>
        <w:t xml:space="preserve">  </w:t>
      </w:r>
      <w:r>
        <w:rPr>
          <w:rFonts w:ascii="Times New Roman" w:hAnsi="Times New Roman" w:eastAsia="楷体" w:cs="Times New Roman"/>
        </w:rPr>
        <w:t>法治是最好的营商环境。最高人民法院制定优化法治环境促进民营经济发展壮大意见，提出10条司法举措，包括对不正当竞争、扰乱正常市场秩序等行为依法予以严厉打击；发布依法平等保护民营企业产权和企业家权益的11件典型案例。</w:t>
      </w:r>
    </w:p>
    <w:p w14:paraId="44D45BEF">
      <w:pPr>
        <w:spacing w:line="360" w:lineRule="auto"/>
        <w:ind w:left="420"/>
        <w:jc w:val="left"/>
        <w:textAlignment w:val="center"/>
        <w:rPr>
          <w:rFonts w:ascii="Times New Roman" w:hAnsi="Times New Roman" w:cs="Times New Roman"/>
        </w:rPr>
      </w:pPr>
      <w:r>
        <w:rPr>
          <w:rFonts w:ascii="Times New Roman" w:hAnsi="Times New Roman" w:cs="Times New Roman"/>
        </w:rPr>
        <w:t>(1)依据材料一，运用《政治与法治》中的相关知识，归纳出本次探究的主要结论。</w:t>
      </w:r>
    </w:p>
    <w:p w14:paraId="4E51AAF0">
      <w:pPr>
        <w:spacing w:line="360" w:lineRule="auto"/>
        <w:ind w:left="420"/>
        <w:jc w:val="left"/>
        <w:textAlignment w:val="center"/>
        <w:rPr>
          <w:rFonts w:ascii="Times New Roman" w:hAnsi="Times New Roman" w:cs="Times New Roman"/>
        </w:rPr>
      </w:pPr>
      <w:r>
        <w:rPr>
          <w:rFonts w:ascii="Times New Roman" w:hAnsi="Times New Roman" w:cs="Times New Roman"/>
        </w:rPr>
        <w:t>(2)依据材料二，运用《经济与社会》中的相关知识，分析营造法治化营商环境对非公有制经济高质量发展的推动作用。</w:t>
      </w:r>
    </w:p>
    <w:p w14:paraId="76826ED5">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【答案】(1)</w:t>
      </w:r>
    </w:p>
    <w:p w14:paraId="43900579">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人民法院履行专政职能，维护国家安全和社会稳定。坚持公正司法，保障人权，防范冤错案件。贯彻司法为民，通过审理民生案件增进人民福祉，体现人民司法性质。</w:t>
      </w:r>
    </w:p>
    <w:p w14:paraId="540483EC">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(2)</w:t>
      </w:r>
    </w:p>
    <w:p w14:paraId="3937E3A9">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 xml:space="preserve">通过依法打击不正当竞争，维护公平市场秩序。平等保护民营企业产权和企业家权益，增强发展信心。优化法治环境，激发民营经济活力和创造力，促进其健康发展。 </w:t>
      </w:r>
    </w:p>
    <w:p w14:paraId="4976DBAE">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【分析】背景素材：某校高一学生围绕“司法为民”开展综合探究</w:t>
      </w:r>
    </w:p>
    <w:p w14:paraId="65EBCE31">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考点考查：坚持人民民主专政、公正司法、坚持“两个毫不动摇”、市场体系</w:t>
      </w:r>
    </w:p>
    <w:p w14:paraId="4291CC7E">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能力考查：描述和阐述事物，论证和探究问题</w:t>
      </w:r>
    </w:p>
    <w:p w14:paraId="66A85204">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核心素养：政治认同、科学精神、法治意识</w:t>
      </w:r>
    </w:p>
    <w:p w14:paraId="394BE6C7">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【详解】（1）第一步：审设问，明确主体、作答范围、问题限定和作答角度。</w:t>
      </w:r>
    </w:p>
    <w:p w14:paraId="7C7DEA55">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本题为分析类主观题，要求运用《政治与法治》中的相关知识，从国家职能、公正司法的角度分析作答。</w:t>
      </w:r>
    </w:p>
    <w:p w14:paraId="46A4F5B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第二步：审材料，通过标点符号、段落等，提取材料有效信息。</w:t>
      </w:r>
    </w:p>
    <w:p w14:paraId="08E749ED">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①</w:t>
      </w:r>
      <w:r>
        <w:rPr>
          <w:rFonts w:ascii="Times New Roman" w:hAnsi="Times New Roman" w:cs="Times New Roman"/>
          <w:color w:val="FF0000"/>
        </w:rPr>
        <w:t>：严厉打击敌对势力渗透、破坏、颠覆、分裂活动，依法严惩重大恶性犯罪→可运用国家职能的知识，从维护社会稳定的角度，说明人民法院履行专政职能，维护国家安全和社会稳定。</w:t>
      </w:r>
    </w:p>
    <w:p w14:paraId="406F3235">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②</w:t>
      </w:r>
      <w:r>
        <w:rPr>
          <w:rFonts w:ascii="Times New Roman" w:hAnsi="Times New Roman" w:cs="Times New Roman"/>
          <w:color w:val="FF0000"/>
        </w:rPr>
        <w:t>：坚持罪刑法定、疑罪从无，依法纠正冤错案件→可运用公正司法的知识，从加强人权司法保障的角度，说明人民法院坚持公正司法，保障人权，防范冤错案件。</w:t>
      </w:r>
    </w:p>
    <w:p w14:paraId="0569EDDD">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③</w:t>
      </w:r>
      <w:r>
        <w:rPr>
          <w:rFonts w:ascii="Times New Roman" w:hAnsi="Times New Roman" w:cs="Times New Roman"/>
          <w:color w:val="FF0000"/>
        </w:rPr>
        <w:t>：贯彻实施好民法典，用心办好百姓身边案，以公正司法保障和增进民生福祉→可运用公正司法的知识，从司法为民的角度，说明人民法院贯彻司法为民，通过审理民生案件增进人民福祉。</w:t>
      </w:r>
    </w:p>
    <w:p w14:paraId="7953ED1F">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第三步：整合信息，组织答案。注意设问限定以及教材知识与材料、时政信息等相结合。</w:t>
      </w:r>
    </w:p>
    <w:p w14:paraId="09FE1AD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（2）第一步：审设问，明确主体、作答范围、问题限定和作答角度。</w:t>
      </w:r>
    </w:p>
    <w:p w14:paraId="6BA7566C">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本题为意义类主观题，要求运用《经济与社会》中的相关知识，从非公有制经济发展、市场体系的角度分析作答。</w:t>
      </w:r>
    </w:p>
    <w:p w14:paraId="24051D3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第二步：审材料，通过标点符号、段落等，提取材料有效信息。</w:t>
      </w:r>
    </w:p>
    <w:p w14:paraId="1115376E">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①</w:t>
      </w:r>
      <w:r>
        <w:rPr>
          <w:rFonts w:ascii="Times New Roman" w:hAnsi="Times New Roman" w:cs="Times New Roman"/>
          <w:color w:val="FF0000"/>
        </w:rPr>
        <w:t>：对不正当竞争、扰乱正常市场秩序等行为依法予以严厉打击→可运用建设高标准市场体系的知识，说明通过依法打击不正当竞争，有利于维护公平市场秩序。</w:t>
      </w:r>
    </w:p>
    <w:p w14:paraId="66B4DA0F">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②</w:t>
      </w:r>
      <w:r>
        <w:rPr>
          <w:rFonts w:ascii="Times New Roman" w:hAnsi="Times New Roman" w:cs="Times New Roman"/>
          <w:color w:val="FF0000"/>
        </w:rPr>
        <w:t>：发布依法平等保护民营企业产权和企业家权益的11件典型案例→可运用毫不动摇鼓励、支持、引导非公有制经济发展的知识，从优化环境的角度，说明平等保护民营企业产权和企业家权益，有利于增强发展信心；优化法治环境，有利于激发民营经济活力和创造力，促进其健康发展。</w:t>
      </w:r>
    </w:p>
    <w:p w14:paraId="1861FC1F">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第三步：整合信息，组织答案。注意设问限定以及教材知识与材料、时政信息等相结合。</w:t>
      </w:r>
    </w:p>
    <w:p w14:paraId="4DB1E1A7">
      <w:pPr>
        <w:spacing w:line="360" w:lineRule="auto"/>
        <w:ind w:left="420" w:hanging="420"/>
        <w:jc w:val="left"/>
        <w:textAlignment w:val="center"/>
        <w:rPr>
          <w:rFonts w:ascii="Times New Roman" w:hAnsi="Times New Roman" w:cs="Times New Roman"/>
        </w:rPr>
      </w:pPr>
      <w:r>
        <w:rPr>
          <w:rFonts w:ascii="Times New Roman" w:hAnsi="Times New Roman" w:cs="Times New Roman"/>
        </w:rPr>
        <w:t>25．</w:t>
      </w:r>
      <w:r>
        <w:rPr>
          <w:rFonts w:ascii="Times New Roman" w:hAnsi="Times New Roman" w:eastAsia="楷体" w:cs="Times New Roman"/>
        </w:rPr>
        <w:t>我国林业已逐步从粗放式经营向集约化发展转变。原有的家庭承包经营由于林地规模小与碎片化，制约了林业规模化生产和高质量发展。某地坚持承包权微调，经营权灵活调整，采取成片托管、零星赎买、差价交换等形式，实现以村民组为单位的整组山场置换，将零散</w:t>
      </w:r>
      <w:r>
        <w:rPr>
          <w:rFonts w:ascii="Times New Roman" w:hAnsi="Times New Roman" w:cs="Times New Roman"/>
        </w:rPr>
        <w:t>“</w:t>
      </w:r>
      <w:r>
        <w:rPr>
          <w:rFonts w:ascii="Times New Roman" w:hAnsi="Times New Roman" w:eastAsia="楷体" w:cs="Times New Roman"/>
        </w:rPr>
        <w:t>小山</w:t>
      </w:r>
      <w:r>
        <w:rPr>
          <w:rFonts w:ascii="Times New Roman" w:hAnsi="Times New Roman" w:cs="Times New Roman"/>
        </w:rPr>
        <w:t>”</w:t>
      </w:r>
      <w:r>
        <w:rPr>
          <w:rFonts w:ascii="Times New Roman" w:hAnsi="Times New Roman" w:eastAsia="楷体" w:cs="Times New Roman"/>
        </w:rPr>
        <w:t>换成连片</w:t>
      </w:r>
      <w:r>
        <w:rPr>
          <w:rFonts w:ascii="Times New Roman" w:hAnsi="Times New Roman" w:cs="Times New Roman"/>
        </w:rPr>
        <w:t>“</w:t>
      </w:r>
      <w:r>
        <w:rPr>
          <w:rFonts w:ascii="Times New Roman" w:hAnsi="Times New Roman" w:eastAsia="楷体" w:cs="Times New Roman"/>
        </w:rPr>
        <w:t>大山</w:t>
      </w:r>
      <w:r>
        <w:rPr>
          <w:rFonts w:ascii="Times New Roman" w:hAnsi="Times New Roman" w:cs="Times New Roman"/>
        </w:rPr>
        <w:t>”</w:t>
      </w:r>
      <w:r>
        <w:rPr>
          <w:rFonts w:ascii="Times New Roman" w:hAnsi="Times New Roman" w:eastAsia="楷体" w:cs="Times New Roman"/>
        </w:rPr>
        <w:t>，达到了减少地块、整合连片的目的，推动了林地集约化整合、规模化经营，提高了经营效率。该地从产业最底层实现变革，为产业振兴注入新活力，保障了林农切身利益。</w:t>
      </w:r>
    </w:p>
    <w:p w14:paraId="51650676">
      <w:pPr>
        <w:spacing w:line="360" w:lineRule="auto"/>
        <w:ind w:left="420"/>
        <w:jc w:val="left"/>
        <w:textAlignment w:val="center"/>
        <w:rPr>
          <w:rFonts w:ascii="Times New Roman" w:hAnsi="Times New Roman" w:cs="Times New Roman"/>
        </w:rPr>
      </w:pPr>
      <w:r>
        <w:rPr>
          <w:rFonts w:ascii="Times New Roman" w:hAnsi="Times New Roman" w:cs="Times New Roman"/>
        </w:rPr>
        <w:t>(1)结合材料，运用“社会历史发展的规律”的知识，说明该地为什么要开展“小山”变“大山”的改革。</w:t>
      </w:r>
    </w:p>
    <w:p w14:paraId="116FACCD">
      <w:pPr>
        <w:spacing w:line="360" w:lineRule="auto"/>
        <w:ind w:left="420"/>
        <w:jc w:val="left"/>
        <w:textAlignment w:val="center"/>
        <w:rPr>
          <w:rFonts w:ascii="Times New Roman" w:hAnsi="Times New Roman" w:cs="Times New Roman"/>
        </w:rPr>
      </w:pPr>
      <w:r>
        <w:rPr>
          <w:rFonts w:ascii="Times New Roman" w:hAnsi="Times New Roman" w:cs="Times New Roman"/>
        </w:rPr>
        <w:t>(2)为推动林业经济高质量发展，有人建议该地延伸产业链（如发展林下种养业、林产品深加工、生态旅游等）。请分别运用《经济与社会》《哲学与文化》中的相关知识分析其建议的合理性。</w:t>
      </w:r>
    </w:p>
    <w:p w14:paraId="4A5967F9">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(1)该地开展“小山”变“大山”改革，是遵循社会历史发展规律的体现。生产关系必须适应生产力发展要求，原有家庭承包经营导致林地细碎化，已不适应林业规模化、集约化发展的生产力新要求。通过调整林地经营权，推动零散林地整合连片，变革生产关系，解放和发展林业生产力，从而提高经营效率，促进林业高质量发展。</w:t>
      </w:r>
    </w:p>
    <w:p w14:paraId="01A180C0">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(2)《经济与社会》答案示例：延伸产业链有助于多元化、多渠道利用林业资源和产品，促进一二三产业融合发展，推动农村产业振兴。</w:t>
      </w:r>
    </w:p>
    <w:p w14:paraId="4A118370">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《哲学与文化》答案示例：联系具有普遍性、客观性、多样性。延伸产业链表明，人们分析和利用事物存在和发展的现有条件，建立了新的联系。</w:t>
      </w:r>
    </w:p>
    <w:p w14:paraId="0B3D93E0">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【分析】背景素材：某地“小山”变“大山”的改革</w:t>
      </w:r>
    </w:p>
    <w:p w14:paraId="5D63B5B0">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考点考查：社会历史的发展的规律、我国的经济发展</w:t>
      </w:r>
    </w:p>
    <w:p w14:paraId="41B6F1A5">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能力考查：描述和阐释事物、论证和探究问题</w:t>
      </w:r>
    </w:p>
    <w:p w14:paraId="0FC8FF5C">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核心素养：政治认同、科学精神</w:t>
      </w:r>
    </w:p>
    <w:p w14:paraId="146FEDE4">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 xml:space="preserve">【详解】（1）第一步：审设问。明确主体、作答范围、问题限定和作答角度。 </w:t>
      </w:r>
    </w:p>
    <w:p w14:paraId="18901A3C">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本题为原因类主观题，运用生产力与生产关系的知识，说明该地开展“小山”变“大山”的改革的原因。</w:t>
      </w:r>
    </w:p>
    <w:p w14:paraId="2C105654">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 xml:space="preserve">第二步：审材料，通过标点符号、段落等，提取材料有效信息。 </w:t>
      </w:r>
    </w:p>
    <w:p w14:paraId="52E78A05">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①</w:t>
      </w:r>
      <w:r>
        <w:rPr>
          <w:rFonts w:ascii="Times New Roman" w:hAnsi="Times New Roman" w:cs="Times New Roman"/>
          <w:color w:val="FF0000"/>
        </w:rPr>
        <w:t>：原有的家庭承包经营由于林地规模小与碎片化，制约了林业规模化生产和高质量发展→可联系生产力与生产关系的知识，说明要发展生产力就需要改变生产关系中同生产力状况不相适应的方面和环节。</w:t>
      </w:r>
    </w:p>
    <w:p w14:paraId="0D8D436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②</w:t>
      </w:r>
      <w:r>
        <w:rPr>
          <w:rFonts w:ascii="Times New Roman" w:hAnsi="Times New Roman" w:cs="Times New Roman"/>
          <w:color w:val="FF0000"/>
        </w:rPr>
        <w:t>： 某地坚持承包权微调，经营权灵活调整，采取成片托管、零星赎买、差价交换等形式，实现以村民组为单位的整组山场置换，将零散“小山”换成连片“大山”，达到了减少地块、整合连片的目的，推动了林地集约化整合、规模化经营，提高了经营效率→可联系生产力与生产关系的知识，说明生产关系一定要适应生产力状况的规律是在任何社会中都起作用的普遍规律，从调整生产关系入手，将“小山”变“大山”，提高了林业生产力。</w:t>
      </w:r>
    </w:p>
    <w:p w14:paraId="0E06B1DC">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第三步：整合信息，组织答案。注意设问限定以及教材知识与材料、时政信息等相结合。</w:t>
      </w:r>
    </w:p>
    <w:p w14:paraId="01BE8344">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 xml:space="preserve">（2）第一步：审设问。明确主体、作答范围、问题限定和作答角度。 </w:t>
      </w:r>
    </w:p>
    <w:p w14:paraId="4995439D">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本题为原因类主观题，运用构建新发展格局、世界是普遍联系的知识，分析“该地延伸产业链（如发展林下种养业、林产品深加工、生态旅游等）”建议的合理性。</w:t>
      </w:r>
    </w:p>
    <w:p w14:paraId="1381D985">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 xml:space="preserve">第二步：审材料，通过标点符号、段落等，提取材料有效信息。 </w:t>
      </w:r>
    </w:p>
    <w:p w14:paraId="5917F6F9">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①</w:t>
      </w:r>
      <w:r>
        <w:rPr>
          <w:rFonts w:ascii="Times New Roman" w:hAnsi="Times New Roman" w:cs="Times New Roman"/>
          <w:color w:val="FF0000"/>
        </w:rPr>
        <w:t xml:space="preserve">：延伸产业链（如发展林下种养业、林产品深加工、生态旅游等）→可联系构建新发展格局的知识，说明延伸产业链促进一二三产业融合发展，推动农村产业振兴。 </w:t>
      </w:r>
    </w:p>
    <w:p w14:paraId="3B37BD05">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②</w:t>
      </w:r>
      <w:r>
        <w:rPr>
          <w:rFonts w:ascii="Times New Roman" w:hAnsi="Times New Roman" w:cs="Times New Roman"/>
          <w:color w:val="FF0000"/>
        </w:rPr>
        <w:t>：延伸产业链（如发展林下种养业、林产品深加工、生态旅游等）→可联系联系具有普遍性、客观性、多样性的知识，说明人们分析和利用事物存在和发展的现有条件，建立了新的联系。</w:t>
      </w:r>
    </w:p>
    <w:p w14:paraId="641E9C58">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第三步：整合信息，组织答案。注意设问限定以及教材知识与材料、时政信息等相结合。</w:t>
      </w:r>
    </w:p>
    <w:p w14:paraId="2E6F1520">
      <w:pPr>
        <w:spacing w:line="360" w:lineRule="auto"/>
        <w:ind w:left="420" w:hanging="420"/>
        <w:jc w:val="left"/>
        <w:textAlignment w:val="center"/>
        <w:rPr>
          <w:rFonts w:ascii="Times New Roman" w:hAnsi="Times New Roman" w:cs="Times New Roman"/>
        </w:rPr>
      </w:pPr>
      <w:r>
        <w:rPr>
          <w:rFonts w:ascii="Times New Roman" w:hAnsi="Times New Roman" w:cs="Times New Roman"/>
        </w:rPr>
        <w:t>26．阅读材料，完成下列要求。</w:t>
      </w:r>
    </w:p>
    <w:p w14:paraId="6BBDC433">
      <w:pPr>
        <w:spacing w:line="360" w:lineRule="auto"/>
        <w:ind w:left="420"/>
        <w:jc w:val="left"/>
        <w:textAlignment w:val="center"/>
        <w:rPr>
          <w:rFonts w:ascii="Times New Roman" w:hAnsi="Times New Roman" w:cs="Times New Roman"/>
        </w:rPr>
      </w:pPr>
      <w:r>
        <w:rPr>
          <w:rFonts w:ascii="Times New Roman" w:hAnsi="Times New Roman" w:cs="Times New Roman"/>
        </w:rPr>
        <w:t>面对世界百年未有之大变局，中国坚定不移推进高水平对外开放和中国特色大国外交，向世界展现自信开放的姿态。</w:t>
      </w:r>
    </w:p>
    <w:p w14:paraId="6562E373">
      <w:pPr>
        <w:spacing w:line="360" w:lineRule="auto"/>
        <w:ind w:left="420"/>
        <w:jc w:val="left"/>
        <w:textAlignment w:val="center"/>
        <w:rPr>
          <w:rFonts w:ascii="Times New Roman" w:hAnsi="Times New Roman" w:cs="Times New Roman"/>
        </w:rPr>
      </w:pPr>
      <w:r>
        <w:rPr>
          <w:rFonts w:ascii="Times New Roman" w:hAnsi="Times New Roman" w:eastAsia="楷体" w:cs="Times New Roman"/>
        </w:rPr>
        <w:t>材料一</w:t>
      </w:r>
      <w:r>
        <w:rPr>
          <w:rFonts w:ascii="Times New Roman" w:hAnsi="Times New Roman" w:eastAsia="Times New Roman" w:cs="Times New Roman"/>
          <w:kern w:val="0"/>
          <w:sz w:val="24"/>
          <w:szCs w:val="24"/>
        </w:rPr>
        <w:t xml:space="preserve">  </w:t>
      </w:r>
      <w:r>
        <w:rPr>
          <w:rFonts w:ascii="Times New Roman" w:hAnsi="Times New Roman" w:eastAsia="楷体" w:cs="Times New Roman"/>
        </w:rPr>
        <w:t>面对外部环境的变化，广东省全力推动外贸稳量提质。以变求变，化挑战为机遇，外贸进出口商品从</w:t>
      </w:r>
      <w:r>
        <w:rPr>
          <w:rFonts w:ascii="Times New Roman" w:hAnsi="Times New Roman" w:cs="Times New Roman"/>
        </w:rPr>
        <w:t>“</w:t>
      </w:r>
      <w:r>
        <w:rPr>
          <w:rFonts w:ascii="Times New Roman" w:hAnsi="Times New Roman" w:eastAsia="楷体" w:cs="Times New Roman"/>
        </w:rPr>
        <w:t>量</w:t>
      </w:r>
      <w:r>
        <w:rPr>
          <w:rFonts w:ascii="Times New Roman" w:hAnsi="Times New Roman" w:cs="Times New Roman"/>
        </w:rPr>
        <w:t>”</w:t>
      </w:r>
      <w:r>
        <w:rPr>
          <w:rFonts w:ascii="Times New Roman" w:hAnsi="Times New Roman" w:eastAsia="楷体" w:cs="Times New Roman"/>
        </w:rPr>
        <w:t>和</w:t>
      </w:r>
      <w:r>
        <w:rPr>
          <w:rFonts w:ascii="Times New Roman" w:hAnsi="Times New Roman" w:cs="Times New Roman"/>
        </w:rPr>
        <w:t>“</w:t>
      </w:r>
      <w:r>
        <w:rPr>
          <w:rFonts w:ascii="Times New Roman" w:hAnsi="Times New Roman" w:eastAsia="楷体" w:cs="Times New Roman"/>
        </w:rPr>
        <w:t>价</w:t>
      </w:r>
      <w:r>
        <w:rPr>
          <w:rFonts w:ascii="Times New Roman" w:hAnsi="Times New Roman" w:cs="Times New Roman"/>
        </w:rPr>
        <w:t>”</w:t>
      </w:r>
      <w:r>
        <w:rPr>
          <w:rFonts w:ascii="Times New Roman" w:hAnsi="Times New Roman" w:eastAsia="楷体" w:cs="Times New Roman"/>
        </w:rPr>
        <w:t>向</w:t>
      </w:r>
      <w:r>
        <w:rPr>
          <w:rFonts w:ascii="Times New Roman" w:hAnsi="Times New Roman" w:cs="Times New Roman"/>
        </w:rPr>
        <w:t>“</w:t>
      </w:r>
      <w:r>
        <w:rPr>
          <w:rFonts w:ascii="Times New Roman" w:hAnsi="Times New Roman" w:eastAsia="楷体" w:cs="Times New Roman"/>
        </w:rPr>
        <w:t>智</w:t>
      </w:r>
      <w:r>
        <w:rPr>
          <w:rFonts w:ascii="Times New Roman" w:hAnsi="Times New Roman" w:cs="Times New Roman"/>
        </w:rPr>
        <w:t>”</w:t>
      </w:r>
      <w:r>
        <w:rPr>
          <w:rFonts w:ascii="Times New Roman" w:hAnsi="Times New Roman" w:eastAsia="楷体" w:cs="Times New Roman"/>
        </w:rPr>
        <w:t>和</w:t>
      </w:r>
      <w:r>
        <w:rPr>
          <w:rFonts w:ascii="Times New Roman" w:hAnsi="Times New Roman" w:cs="Times New Roman"/>
        </w:rPr>
        <w:t>“</w:t>
      </w:r>
      <w:r>
        <w:rPr>
          <w:rFonts w:ascii="Times New Roman" w:hAnsi="Times New Roman" w:eastAsia="楷体" w:cs="Times New Roman"/>
        </w:rPr>
        <w:t>新</w:t>
      </w:r>
      <w:r>
        <w:rPr>
          <w:rFonts w:ascii="Times New Roman" w:hAnsi="Times New Roman" w:cs="Times New Roman"/>
        </w:rPr>
        <w:t>”</w:t>
      </w:r>
      <w:r>
        <w:rPr>
          <w:rFonts w:ascii="Times New Roman" w:hAnsi="Times New Roman" w:eastAsia="楷体" w:cs="Times New Roman"/>
        </w:rPr>
        <w:t>转型。强化互联互通，提升通达能力。目前，广东</w:t>
      </w:r>
      <w:r>
        <w:rPr>
          <w:rFonts w:ascii="Times New Roman" w:hAnsi="Times New Roman" w:cs="Times New Roman"/>
        </w:rPr>
        <w:t>3</w:t>
      </w:r>
      <w:r>
        <w:rPr>
          <w:rFonts w:ascii="Times New Roman" w:hAnsi="Times New Roman" w:eastAsia="楷体" w:cs="Times New Roman"/>
        </w:rPr>
        <w:t>小时可通达东南亚主要城市，</w:t>
      </w:r>
      <w:r>
        <w:rPr>
          <w:rFonts w:ascii="Times New Roman" w:hAnsi="Times New Roman" w:cs="Times New Roman"/>
        </w:rPr>
        <w:t>455</w:t>
      </w:r>
      <w:r>
        <w:rPr>
          <w:rFonts w:ascii="Times New Roman" w:hAnsi="Times New Roman" w:eastAsia="楷体" w:cs="Times New Roman"/>
        </w:rPr>
        <w:t>条国际货运航线覆盖全球主要国家和港口，以高质量贸易通道建设支撑外贸发展。锚定制度创新，主动对接国际高标准经贸规则，推动自贸试验区建设，推进外贸、外资、外包、外经、外智</w:t>
      </w:r>
      <w:r>
        <w:rPr>
          <w:rFonts w:ascii="Times New Roman" w:hAnsi="Times New Roman" w:cs="Times New Roman"/>
        </w:rPr>
        <w:t>“</w:t>
      </w:r>
      <w:r>
        <w:rPr>
          <w:rFonts w:ascii="Times New Roman" w:hAnsi="Times New Roman" w:eastAsia="楷体" w:cs="Times New Roman"/>
        </w:rPr>
        <w:t>五外联动</w:t>
      </w:r>
      <w:r>
        <w:rPr>
          <w:rFonts w:ascii="Times New Roman" w:hAnsi="Times New Roman" w:cs="Times New Roman"/>
        </w:rPr>
        <w:t>”</w:t>
      </w:r>
      <w:r>
        <w:rPr>
          <w:rFonts w:ascii="Times New Roman" w:hAnsi="Times New Roman" w:eastAsia="楷体" w:cs="Times New Roman"/>
        </w:rPr>
        <w:t>。</w:t>
      </w:r>
      <w:r>
        <w:rPr>
          <w:rFonts w:ascii="Times New Roman" w:hAnsi="Times New Roman" w:cs="Times New Roman"/>
        </w:rPr>
        <w:t>2024</w:t>
      </w:r>
      <w:r>
        <w:rPr>
          <w:rFonts w:ascii="Times New Roman" w:hAnsi="Times New Roman" w:eastAsia="楷体" w:cs="Times New Roman"/>
        </w:rPr>
        <w:t>年，广东进出口总额首次站上</w:t>
      </w:r>
      <w:r>
        <w:rPr>
          <w:rFonts w:ascii="Times New Roman" w:hAnsi="Times New Roman" w:cs="Times New Roman"/>
        </w:rPr>
        <w:t>9</w:t>
      </w:r>
      <w:r>
        <w:rPr>
          <w:rFonts w:ascii="Times New Roman" w:hAnsi="Times New Roman" w:eastAsia="楷体" w:cs="Times New Roman"/>
        </w:rPr>
        <w:t>万亿元新台阶，连续</w:t>
      </w:r>
      <w:r>
        <w:rPr>
          <w:rFonts w:ascii="Times New Roman" w:hAnsi="Times New Roman" w:cs="Times New Roman"/>
        </w:rPr>
        <w:t>39</w:t>
      </w:r>
      <w:r>
        <w:rPr>
          <w:rFonts w:ascii="Times New Roman" w:hAnsi="Times New Roman" w:eastAsia="楷体" w:cs="Times New Roman"/>
        </w:rPr>
        <w:t>年居全国首位，贡献全国近四成的外贸增量。</w:t>
      </w:r>
    </w:p>
    <w:p w14:paraId="6649BCF6">
      <w:pPr>
        <w:spacing w:line="360" w:lineRule="auto"/>
        <w:ind w:left="420"/>
        <w:jc w:val="left"/>
        <w:textAlignment w:val="center"/>
        <w:rPr>
          <w:rFonts w:ascii="Times New Roman" w:hAnsi="Times New Roman" w:cs="Times New Roman"/>
        </w:rPr>
      </w:pPr>
      <w:r>
        <w:rPr>
          <w:rFonts w:ascii="Times New Roman" w:hAnsi="Times New Roman" w:eastAsia="楷体" w:cs="Times New Roman"/>
        </w:rPr>
        <w:t>材料二</w:t>
      </w:r>
      <w:r>
        <w:rPr>
          <w:rFonts w:ascii="Times New Roman" w:hAnsi="Times New Roman" w:eastAsia="Times New Roman" w:cs="Times New Roman"/>
          <w:kern w:val="0"/>
          <w:sz w:val="24"/>
          <w:szCs w:val="24"/>
        </w:rPr>
        <w:t xml:space="preserve">  </w:t>
      </w:r>
      <w:r>
        <w:rPr>
          <w:rFonts w:ascii="Times New Roman" w:hAnsi="Times New Roman" w:eastAsia="楷体" w:cs="Times New Roman"/>
        </w:rPr>
        <w:t>中国历史长河中流淌着深厚的睦邻文化血脉。唐朝时期，真腊王室成员到访长安；明朝时期，航海家郑和</w:t>
      </w:r>
      <w:r>
        <w:rPr>
          <w:rFonts w:ascii="Times New Roman" w:hAnsi="Times New Roman" w:cs="Times New Roman"/>
        </w:rPr>
        <w:t>7</w:t>
      </w:r>
      <w:r>
        <w:rPr>
          <w:rFonts w:ascii="Times New Roman" w:hAnsi="Times New Roman" w:eastAsia="楷体" w:cs="Times New Roman"/>
        </w:rPr>
        <w:t>次远洋航行中</w:t>
      </w:r>
      <w:r>
        <w:rPr>
          <w:rFonts w:ascii="Times New Roman" w:hAnsi="Times New Roman" w:cs="Times New Roman"/>
        </w:rPr>
        <w:t>5</w:t>
      </w:r>
      <w:r>
        <w:rPr>
          <w:rFonts w:ascii="Times New Roman" w:hAnsi="Times New Roman" w:eastAsia="楷体" w:cs="Times New Roman"/>
        </w:rPr>
        <w:t>次到访马六甲</w:t>
      </w:r>
      <w:r>
        <w:rPr>
          <w:rFonts w:ascii="Times New Roman" w:hAnsi="Times New Roman" w:cs="Times New Roman"/>
        </w:rPr>
        <w:t>……</w:t>
      </w:r>
      <w:r>
        <w:rPr>
          <w:rFonts w:ascii="Times New Roman" w:hAnsi="Times New Roman" w:eastAsia="楷体" w:cs="Times New Roman"/>
        </w:rPr>
        <w:t>大国睦邻之道源远流长，周边国家体会最为真实，最为深切。</w:t>
      </w:r>
    </w:p>
    <w:p w14:paraId="4CCB1540">
      <w:pPr>
        <w:spacing w:line="360" w:lineRule="auto"/>
        <w:ind w:left="420"/>
        <w:jc w:val="left"/>
        <w:textAlignment w:val="center"/>
        <w:rPr>
          <w:rFonts w:ascii="Times New Roman" w:hAnsi="Times New Roman" w:cs="Times New Roman"/>
        </w:rPr>
      </w:pPr>
      <w:r>
        <w:rPr>
          <w:rFonts w:ascii="Times New Roman" w:hAnsi="Times New Roman" w:cs="Times New Roman"/>
        </w:rPr>
        <w:t>2025</w:t>
      </w:r>
      <w:r>
        <w:rPr>
          <w:rFonts w:ascii="Times New Roman" w:hAnsi="Times New Roman" w:eastAsia="楷体" w:cs="Times New Roman"/>
        </w:rPr>
        <w:t>年</w:t>
      </w:r>
      <w:r>
        <w:rPr>
          <w:rFonts w:ascii="Times New Roman" w:hAnsi="Times New Roman" w:cs="Times New Roman"/>
        </w:rPr>
        <w:t>4</w:t>
      </w:r>
      <w:r>
        <w:rPr>
          <w:rFonts w:ascii="Times New Roman" w:hAnsi="Times New Roman" w:eastAsia="楷体" w:cs="Times New Roman"/>
        </w:rPr>
        <w:t>月</w:t>
      </w:r>
      <w:r>
        <w:rPr>
          <w:rFonts w:ascii="Times New Roman" w:hAnsi="Times New Roman" w:cs="Times New Roman"/>
        </w:rPr>
        <w:t>8</w:t>
      </w:r>
      <w:r>
        <w:rPr>
          <w:rFonts w:ascii="Times New Roman" w:hAnsi="Times New Roman" w:eastAsia="楷体" w:cs="Times New Roman"/>
        </w:rPr>
        <w:t>日至</w:t>
      </w:r>
      <w:r>
        <w:rPr>
          <w:rFonts w:ascii="Times New Roman" w:hAnsi="Times New Roman" w:cs="Times New Roman"/>
        </w:rPr>
        <w:t>9</w:t>
      </w:r>
      <w:r>
        <w:rPr>
          <w:rFonts w:ascii="Times New Roman" w:hAnsi="Times New Roman" w:eastAsia="楷体" w:cs="Times New Roman"/>
        </w:rPr>
        <w:t>日召开的中央周边工作会议强调，周边是实现发展繁荣的重要基础。中国高度重视周边，积极推动构建周边命运共同体：已同周边</w:t>
      </w:r>
      <w:r>
        <w:rPr>
          <w:rFonts w:ascii="Times New Roman" w:hAnsi="Times New Roman" w:cs="Times New Roman"/>
        </w:rPr>
        <w:t>17</w:t>
      </w:r>
      <w:r>
        <w:rPr>
          <w:rFonts w:ascii="Times New Roman" w:hAnsi="Times New Roman" w:eastAsia="楷体" w:cs="Times New Roman"/>
        </w:rPr>
        <w:t>个国家达成构建命运共同体共识，在中南半岛和中亚地区形成命运共同体</w:t>
      </w:r>
      <w:r>
        <w:rPr>
          <w:rFonts w:ascii="Times New Roman" w:hAnsi="Times New Roman" w:cs="Times New Roman"/>
        </w:rPr>
        <w:t>“</w:t>
      </w:r>
      <w:r>
        <w:rPr>
          <w:rFonts w:ascii="Times New Roman" w:hAnsi="Times New Roman" w:eastAsia="楷体" w:cs="Times New Roman"/>
        </w:rPr>
        <w:t>两大集群</w:t>
      </w:r>
      <w:r>
        <w:rPr>
          <w:rFonts w:ascii="Times New Roman" w:hAnsi="Times New Roman" w:cs="Times New Roman"/>
        </w:rPr>
        <w:t>”</w:t>
      </w:r>
      <w:r>
        <w:rPr>
          <w:rFonts w:ascii="Times New Roman" w:hAnsi="Times New Roman" w:eastAsia="楷体" w:cs="Times New Roman"/>
        </w:rPr>
        <w:t>；已与</w:t>
      </w:r>
      <w:r>
        <w:rPr>
          <w:rFonts w:ascii="Times New Roman" w:hAnsi="Times New Roman" w:cs="Times New Roman"/>
        </w:rPr>
        <w:t>12</w:t>
      </w:r>
      <w:r>
        <w:rPr>
          <w:rFonts w:ascii="Times New Roman" w:hAnsi="Times New Roman" w:eastAsia="楷体" w:cs="Times New Roman"/>
        </w:rPr>
        <w:t>个陆地邻国通过谈判解决了历史遗留的边界问题，同周边</w:t>
      </w:r>
      <w:r>
        <w:rPr>
          <w:rFonts w:ascii="Times New Roman" w:hAnsi="Times New Roman" w:cs="Times New Roman"/>
        </w:rPr>
        <w:t>9</w:t>
      </w:r>
      <w:r>
        <w:rPr>
          <w:rFonts w:ascii="Times New Roman" w:hAnsi="Times New Roman" w:eastAsia="楷体" w:cs="Times New Roman"/>
        </w:rPr>
        <w:t>个国家签署了睦邻友好合作条约。从中国中亚机制成为推进中国和中亚五国深度合作的重要平台，到澜湄合作助推澜湄流域经济带蓬勃发展；从中亚班列开通新线路、中吉乌铁路启动，到西部陆海新通道班列年度开行破万列，再到《区域全面经济伙伴关系协定》为促进区域经济一体化赋能增效</w:t>
      </w:r>
      <w:r>
        <w:rPr>
          <w:rFonts w:ascii="Times New Roman" w:hAnsi="Times New Roman" w:cs="Times New Roman"/>
        </w:rPr>
        <w:t>……</w:t>
      </w:r>
      <w:r>
        <w:rPr>
          <w:rFonts w:ascii="Times New Roman" w:hAnsi="Times New Roman" w:eastAsia="楷体" w:cs="Times New Roman"/>
        </w:rPr>
        <w:t>中国与周边国家的紧密互动，传递出亚洲国家希望促进全球经济稳定、维护合作共赢国际环境的共同意愿。</w:t>
      </w:r>
    </w:p>
    <w:p w14:paraId="4ADE159C">
      <w:pPr>
        <w:spacing w:line="360" w:lineRule="auto"/>
        <w:ind w:left="420"/>
        <w:jc w:val="left"/>
        <w:textAlignment w:val="center"/>
        <w:rPr>
          <w:rFonts w:ascii="Times New Roman" w:hAnsi="Times New Roman" w:cs="Times New Roman"/>
        </w:rPr>
      </w:pPr>
      <w:r>
        <w:rPr>
          <w:rFonts w:ascii="Times New Roman" w:hAnsi="Times New Roman" w:cs="Times New Roman"/>
        </w:rPr>
        <w:t>(1)结合材料一，运用《经济与社会》相关知识，分析广东省是如何推动外贸高质量发展的。</w:t>
      </w:r>
    </w:p>
    <w:p w14:paraId="1CB51DE1">
      <w:pPr>
        <w:spacing w:line="360" w:lineRule="auto"/>
        <w:ind w:left="420"/>
        <w:jc w:val="left"/>
        <w:textAlignment w:val="center"/>
        <w:rPr>
          <w:rFonts w:ascii="Times New Roman" w:hAnsi="Times New Roman" w:cs="Times New Roman"/>
        </w:rPr>
      </w:pPr>
      <w:r>
        <w:rPr>
          <w:rFonts w:ascii="Times New Roman" w:hAnsi="Times New Roman" w:cs="Times New Roman"/>
        </w:rPr>
        <w:t>(2)结合材料二，运用《当代国际政治与经济》相关知识，分析中国为何要推动构建周边命运共同体。</w:t>
      </w:r>
    </w:p>
    <w:p w14:paraId="2FE1D45C">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【答案】(1)</w:t>
      </w:r>
      <w:r>
        <w:rPr>
          <w:rFonts w:hint="eastAsia" w:ascii="宋体" w:hAnsi="宋体" w:eastAsia="宋体" w:cs="宋体"/>
          <w:color w:val="FF0000"/>
        </w:rPr>
        <w:t>①</w:t>
      </w:r>
      <w:r>
        <w:rPr>
          <w:rFonts w:ascii="Times New Roman" w:hAnsi="Times New Roman" w:cs="Times New Roman"/>
          <w:color w:val="FF0000"/>
        </w:rPr>
        <w:t>坚持创新发展、开放发展，为经济发展提供新动力。</w:t>
      </w:r>
    </w:p>
    <w:p w14:paraId="31F713D3">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建设高质量的贸易通道，推动贸易自由化便利化。</w:t>
      </w:r>
    </w:p>
    <w:p w14:paraId="659DC2FA">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扩大制度型开放，发展更高水平开放型经济。</w:t>
      </w:r>
    </w:p>
    <w:p w14:paraId="1DF51707">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(2)</w:t>
      </w:r>
      <w:r>
        <w:rPr>
          <w:rFonts w:hint="eastAsia" w:ascii="宋体" w:hAnsi="宋体" w:eastAsia="宋体" w:cs="宋体"/>
          <w:color w:val="FF0000"/>
        </w:rPr>
        <w:t>①</w:t>
      </w:r>
      <w:r>
        <w:rPr>
          <w:rFonts w:ascii="Times New Roman" w:hAnsi="Times New Roman" w:cs="Times New Roman"/>
          <w:color w:val="FF0000"/>
        </w:rPr>
        <w:t>睦邻友好是亲仁善邻、讲信修睦文化传统的赓续。（若只有材料源远流长，1分）</w:t>
      </w:r>
    </w:p>
    <w:p w14:paraId="73550DAE">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周边居于我国外交工作的重要位置。（若答周边是实现发展繁荣的重要基础，1分）</w:t>
      </w:r>
    </w:p>
    <w:p w14:paraId="0881F8B7">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秉承亲诚惠容理念，深化与周边国家互利合作共赢。</w:t>
      </w:r>
    </w:p>
    <w:p w14:paraId="3F86821F">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以周边命运共同体推动构建人类命运共同体，为世界的和平发展注入力量。</w:t>
      </w:r>
    </w:p>
    <w:p w14:paraId="2345F9CC">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【分析】背景素材：中国的对外开放和中国特色大国外交</w:t>
      </w:r>
    </w:p>
    <w:p w14:paraId="39A72923">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考点考查：我国的经济发展、中国的外交</w:t>
      </w:r>
    </w:p>
    <w:p w14:paraId="0B3AEB13">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能力考查：描述和阐释事物、论证和探究问题</w:t>
      </w:r>
    </w:p>
    <w:p w14:paraId="02891A85">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核心素养：政治认同、科学精神</w:t>
      </w:r>
    </w:p>
    <w:p w14:paraId="091B0609">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【详解】（1）第一步：审设问。明确主体、作答范围、问题限定和作答角度。</w:t>
      </w:r>
    </w:p>
    <w:p w14:paraId="53EF2441">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本题为措施类主观题，要求运用《经济与社会》的知识，从我国的经济发展的角度，根据广东省在外贸领域提质增效的具体举措，提炼概括总结其推动外贸高质量发展的措施。</w:t>
      </w:r>
    </w:p>
    <w:p w14:paraId="158E384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第二步：审材料，通过标点符号、段落等，提取材料有效信息。</w:t>
      </w:r>
    </w:p>
    <w:p w14:paraId="12A3C434">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①</w:t>
      </w:r>
      <w:r>
        <w:rPr>
          <w:rFonts w:ascii="Times New Roman" w:hAnsi="Times New Roman" w:cs="Times New Roman"/>
          <w:color w:val="FF0000"/>
        </w:rPr>
        <w:t>：外贸进出口商品从“量”和“价”向“智”和“新”转型→可从新发展理念的角度，说明广东省坚持创新发展、开放发展，为经济发展提供新动力。</w:t>
      </w:r>
    </w:p>
    <w:p w14:paraId="0F2C1A79">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②</w:t>
      </w:r>
      <w:r>
        <w:rPr>
          <w:rFonts w:ascii="Times New Roman" w:hAnsi="Times New Roman" w:cs="Times New Roman"/>
          <w:color w:val="FF0000"/>
        </w:rPr>
        <w:t>：强化互联互通，提升通达能力→可从构建新发展格局的角度，说明广东省建设高质量的贸易通道，推动贸易自由化便利化。</w:t>
      </w:r>
    </w:p>
    <w:p w14:paraId="33198BEF">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③</w:t>
      </w:r>
      <w:r>
        <w:rPr>
          <w:rFonts w:ascii="Times New Roman" w:hAnsi="Times New Roman" w:cs="Times New Roman"/>
          <w:color w:val="FF0000"/>
        </w:rPr>
        <w:t>：锚定制度创新，主动对接国际高标准经贸规则→可从构建新发展格局的角度，说明广东省扩大制度型开放，发展更高水平开放型经济。</w:t>
      </w:r>
    </w:p>
    <w:p w14:paraId="0DDD9F8E">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第三步：整合信息，组织答案。注意设问限定以及教材知识与材料、时政信息等相结合。</w:t>
      </w:r>
    </w:p>
    <w:p w14:paraId="0E7B882B">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（2）第一步：审设问。明确主体、作答范围、问题限定和作答角度。</w:t>
      </w:r>
    </w:p>
    <w:p w14:paraId="74A7F3F1">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本题为原因类主观题，要求运用《当代国际政治与经济》的知识，从世界多极化的角度，根据我国与周边国家构建命运共同体的举措，分析其带来的效果，得出中国为何要推动构建周边命运共同体。</w:t>
      </w:r>
    </w:p>
    <w:p w14:paraId="5E1F2F09">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第二步：审材料，通过标点符号、段落等，提取材料有效信息。</w:t>
      </w:r>
    </w:p>
    <w:p w14:paraId="5EF6DFC4">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①</w:t>
      </w:r>
      <w:r>
        <w:rPr>
          <w:rFonts w:ascii="Times New Roman" w:hAnsi="Times New Roman" w:cs="Times New Roman"/>
          <w:color w:val="FF0000"/>
        </w:rPr>
        <w:t>：大国睦邻之道源远流长，周边国家体会最为真实，最为深切→可从中国特色大国外交的角度，说明睦邻友好是亲仁善邻、讲信修睦文化传统的赓续。</w:t>
      </w:r>
    </w:p>
    <w:p w14:paraId="3172818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②</w:t>
      </w:r>
      <w:r>
        <w:rPr>
          <w:rFonts w:ascii="Times New Roman" w:hAnsi="Times New Roman" w:cs="Times New Roman"/>
          <w:color w:val="FF0000"/>
        </w:rPr>
        <w:t>：周边是实现发展繁荣的重要基础。中国高度重视周边，积极推动构建周边命运共同体→可从中国特色大国外交的角度，说明周边居于我国外交工作的重要位置。</w:t>
      </w:r>
    </w:p>
    <w:p w14:paraId="3AB9E72E">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③</w:t>
      </w:r>
      <w:r>
        <w:rPr>
          <w:rFonts w:ascii="Times New Roman" w:hAnsi="Times New Roman" w:cs="Times New Roman"/>
          <w:color w:val="FF0000"/>
        </w:rPr>
        <w:t>：中亚班列开通新线路、中吉乌铁路启动，到西部陆海新通道班列年度开行破万列→可从中国特色大国外交的角度，说明中国秉承亲诚惠容理念，深化与周边国家互利合作共赢。</w:t>
      </w:r>
    </w:p>
    <w:p w14:paraId="1A61498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④</w:t>
      </w:r>
      <w:r>
        <w:rPr>
          <w:rFonts w:ascii="Times New Roman" w:hAnsi="Times New Roman" w:cs="Times New Roman"/>
          <w:color w:val="FF0000"/>
        </w:rPr>
        <w:t>：中国与周边国家的紧密互动，传递出亚洲国家希望促进全球经济稳定、维护合作共赢国际环境的共同意愿→可从构建人类命运共同体的角度，说明中国以周边命运共同体推动构建人类命运共同体，有利于为世界的和平发展注入力量。</w:t>
      </w:r>
    </w:p>
    <w:p w14:paraId="3C8FEC2B">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第三步：整合信息，组织答案。注意设问限定以及教材知识与材料、时政信息等相结合。</w:t>
      </w:r>
    </w:p>
    <w:p w14:paraId="1A771FC0">
      <w:pPr>
        <w:spacing w:line="360" w:lineRule="auto"/>
        <w:ind w:left="420" w:hanging="420"/>
        <w:jc w:val="left"/>
        <w:textAlignment w:val="center"/>
        <w:rPr>
          <w:rFonts w:ascii="Times New Roman" w:hAnsi="Times New Roman" w:cs="Times New Roman"/>
        </w:rPr>
      </w:pPr>
      <w:r>
        <w:rPr>
          <w:rFonts w:ascii="Times New Roman" w:hAnsi="Times New Roman" w:cs="Times New Roman"/>
        </w:rPr>
        <w:t>27．阅读材料，完成下列要求</w:t>
      </w:r>
    </w:p>
    <w:p w14:paraId="7FE3922B">
      <w:pPr>
        <w:spacing w:line="360" w:lineRule="auto"/>
        <w:ind w:left="420"/>
        <w:jc w:val="left"/>
        <w:textAlignment w:val="center"/>
        <w:rPr>
          <w:rFonts w:ascii="Times New Roman" w:hAnsi="Times New Roman" w:cs="Times New Roman"/>
        </w:rPr>
      </w:pPr>
      <w:r>
        <w:rPr>
          <w:rFonts w:ascii="Times New Roman" w:hAnsi="Times New Roman" w:eastAsia="楷体" w:cs="Times New Roman"/>
        </w:rPr>
        <w:t>长期以来，海洋塑料污染一直是全球性的治理难题。2020年，浙江省率先探索出“市场化垃圾收集-高值化资源利用-国际化认证增值”海洋塑料污染治理“蓝色循环”模式。该模式始于海洋垃圾收集点，通过回收企业进行市场化收购，沿海居民、渔民参与收集，建立立体收集网络；依托物联网和区块链等技术，实现“储存—处置—运输—再生制造”全流程可视化，生成再生塑料的溯源码，标定碳足迹，获得国际权威机构认证。当地企业与国际企业签订产销合同，打开国际海洋塑料再利用的高端市场，品牌商以高于传统再生塑料约165%的价格进行采购回收，实现国际化认证增值。</w:t>
      </w:r>
    </w:p>
    <w:p w14:paraId="5E24E36D">
      <w:pPr>
        <w:spacing w:line="360" w:lineRule="auto"/>
        <w:ind w:left="420"/>
        <w:jc w:val="left"/>
        <w:textAlignment w:val="center"/>
        <w:rPr>
          <w:rFonts w:ascii="Times New Roman" w:hAnsi="Times New Roman" w:cs="Times New Roman"/>
        </w:rPr>
      </w:pPr>
      <w:r>
        <w:rPr>
          <w:rFonts w:ascii="Times New Roman" w:hAnsi="Times New Roman" w:eastAsia="楷体" w:cs="Times New Roman"/>
        </w:rPr>
        <w:t>政府引导组建的“蓝色联盟”组织，提取海洋塑料高值利用溢价的20%，设立“共富基金”。该基金用于提高回收价格、缴纳社保等，并提供物资补贴、绿色信贷等增值服务。“蓝色循环”模式兼顾治理海洋塑料污染、挖掘经济效益和推动共同富裕，实现了生态与富民共赢，为破解海洋塑料污染治理难题提供了中国方案。2023年，该模式获得联合国“地球卫士奖”。</w:t>
      </w:r>
    </w:p>
    <w:p w14:paraId="4DD453D5">
      <w:pPr>
        <w:spacing w:line="360" w:lineRule="auto"/>
        <w:ind w:left="420"/>
        <w:jc w:val="left"/>
        <w:textAlignment w:val="center"/>
        <w:rPr>
          <w:rFonts w:ascii="Times New Roman" w:hAnsi="Times New Roman" w:cs="Times New Roman"/>
        </w:rPr>
      </w:pPr>
      <w:r>
        <w:rPr>
          <w:rFonts w:ascii="Times New Roman" w:hAnsi="Times New Roman" w:cs="Times New Roman"/>
        </w:rPr>
        <w:t>结合材料并运用《经济与社会》知识，说明“蓝色循环”模式如何通过市场机制破解海洋塑料污染治理难题。</w:t>
      </w:r>
    </w:p>
    <w:p w14:paraId="31ED9B7C">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w:t>
      </w:r>
    </w:p>
    <w:p w14:paraId="56C743B7">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①</w:t>
      </w:r>
      <w:r>
        <w:rPr>
          <w:rFonts w:ascii="Times New Roman" w:hAnsi="Times New Roman" w:cs="Times New Roman"/>
          <w:color w:val="FF0000"/>
        </w:rPr>
        <w:t>发挥价格机制作用。提高回收价格，增加供给量，实现市场化收集。</w:t>
      </w:r>
      <w:r>
        <w:rPr>
          <w:rFonts w:hint="eastAsia" w:ascii="宋体" w:hAnsi="宋体" w:eastAsia="宋体" w:cs="宋体"/>
          <w:color w:val="FF0000"/>
        </w:rPr>
        <w:t>②</w:t>
      </w:r>
      <w:r>
        <w:rPr>
          <w:rFonts w:ascii="Times New Roman" w:hAnsi="Times New Roman" w:cs="Times New Roman"/>
          <w:color w:val="FF0000"/>
        </w:rPr>
        <w:t>以市场为导向。技术赋能垃圾的再生成过程，提高竞争优势，满足高段市场需求，实现高值利用。</w:t>
      </w:r>
      <w:r>
        <w:rPr>
          <w:rFonts w:hint="eastAsia" w:ascii="宋体" w:hAnsi="宋体" w:eastAsia="宋体" w:cs="宋体"/>
          <w:color w:val="FF0000"/>
        </w:rPr>
        <w:t>③</w:t>
      </w:r>
      <w:r>
        <w:rPr>
          <w:rFonts w:ascii="Times New Roman" w:hAnsi="Times New Roman" w:cs="Times New Roman"/>
          <w:color w:val="FF0000"/>
        </w:rPr>
        <w:t>充分发挥市场在资源配置中的决定作用，实现资源的有效配置，提高海洋污染治理效能，更好的发挥政府的作用，通过“共富基金”，完善收入分配，激发多元主体活力，为维护海洋生态治理提供动力。</w:t>
      </w:r>
    </w:p>
    <w:p w14:paraId="10EF6F2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【分析】背景素材：海洋塑料污染</w:t>
      </w:r>
    </w:p>
    <w:p w14:paraId="3E8D0127">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考点考查：社会主义市场经济体制的相关知识</w:t>
      </w:r>
    </w:p>
    <w:p w14:paraId="5065486F">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能力考查：描述和阐释事物、论证和探究问题</w:t>
      </w:r>
    </w:p>
    <w:p w14:paraId="4312038A">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核心素养：政治认同、科学精神</w:t>
      </w:r>
    </w:p>
    <w:p w14:paraId="085683BA">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【详解】第一步：审设问。明确主体、作答范围、问题限定和作答角度。</w:t>
      </w:r>
    </w:p>
    <w:p w14:paraId="68141400">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本题为措施类主观题，设问要求说明“蓝色循环”模式如何通过市场机制破解海洋塑料污染治理难题，要求运用社会主义市场经济体制的知识来分析作答。</w:t>
      </w:r>
    </w:p>
    <w:p w14:paraId="716CF75C">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第二步：审材料，通过标点符号、段落等，提取材料有效信息。</w:t>
      </w:r>
    </w:p>
    <w:p w14:paraId="2C0A6AF0">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①</w:t>
      </w:r>
      <w:r>
        <w:rPr>
          <w:rFonts w:ascii="Times New Roman" w:hAnsi="Times New Roman" w:cs="Times New Roman"/>
          <w:color w:val="FF0000"/>
        </w:rPr>
        <w:t>：模式始于海洋垃圾收集点，通过回收企业进行市场化收购，沿海居民、渔民参与收集，建立立体收集网络；品牌商以高于传统再生塑料约165%的价格进行采购回收→可运用社会主义市场经济体制的知识，从发挥价格机制作用的角度分析说明通过提高回收价格，实现市场化收集。</w:t>
      </w:r>
    </w:p>
    <w:p w14:paraId="2E662938">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②</w:t>
      </w:r>
      <w:r>
        <w:rPr>
          <w:rFonts w:ascii="Times New Roman" w:hAnsi="Times New Roman" w:cs="Times New Roman"/>
          <w:color w:val="FF0000"/>
        </w:rPr>
        <w:t>：依托物联网和区块链等技术，实现“储存—处置—运输—再生制造”全流程可视化，生成再生塑料的溯源码，标定碳足迹，获得国际权威机构认证。当地企业与国际企业签订产销合同，打开国际海洋塑料再利用的高端市场，品牌商以高于传统再生塑料约165%的价格进行采购回收，实现国际化认证增值→可以市场为导向的角度，说明技术赋能垃圾的再生成过程，实现高值利用。</w:t>
      </w:r>
    </w:p>
    <w:p w14:paraId="236FF7A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③</w:t>
      </w:r>
      <w:r>
        <w:rPr>
          <w:rFonts w:ascii="Times New Roman" w:hAnsi="Times New Roman" w:cs="Times New Roman"/>
          <w:color w:val="FF0000"/>
        </w:rPr>
        <w:t>：该模式始于海洋垃圾收集点，通过回收企业进行市场化收购，沿海居民、渔民参与收集，建立立体收集网络……当地企业与国际企业签订产销合同，打开国际海洋塑料再利用的高端市场；政府引导组建的“蓝色联盟”组织，提取海洋塑料高值利用溢价的20%，设立“共富基金”。该基金用于提高回收价格、缴纳社保等，并提供物资补贴、绿色信贷等增值服务→可从充分发挥市场在资源配置中的决定作用、更好的发挥政府的作用的角度分析说明。</w:t>
      </w:r>
    </w:p>
    <w:p w14:paraId="5BB1AF69">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第三步：整合信息，组织答案。注意设问限定以及教材知识与材料、时政信息等相结合。</w:t>
      </w:r>
    </w:p>
    <w:p w14:paraId="69A13A74">
      <w:pPr>
        <w:spacing w:line="360" w:lineRule="auto"/>
        <w:ind w:left="420" w:hanging="420"/>
        <w:jc w:val="left"/>
        <w:textAlignment w:val="center"/>
        <w:rPr>
          <w:rFonts w:ascii="Times New Roman" w:hAnsi="Times New Roman" w:cs="Times New Roman"/>
        </w:rPr>
      </w:pPr>
      <w:r>
        <w:rPr>
          <w:rFonts w:ascii="Times New Roman" w:hAnsi="Times New Roman" w:cs="Times New Roman"/>
        </w:rPr>
        <w:t>28．阅读材料，完成下列要求。</w:t>
      </w:r>
    </w:p>
    <w:p w14:paraId="38F28039">
      <w:pPr>
        <w:spacing w:line="360" w:lineRule="auto"/>
        <w:ind w:left="420"/>
        <w:jc w:val="left"/>
        <w:textAlignment w:val="center"/>
        <w:rPr>
          <w:rFonts w:ascii="Times New Roman" w:hAnsi="Times New Roman" w:cs="Times New Roman"/>
        </w:rPr>
      </w:pPr>
      <w:r>
        <w:rPr>
          <w:rFonts w:ascii="Times New Roman" w:hAnsi="Times New Roman" w:eastAsia="楷体" w:cs="Times New Roman"/>
        </w:rPr>
        <w:t>材料一</w:t>
      </w:r>
      <w:r>
        <w:rPr>
          <w:rFonts w:ascii="Times New Roman" w:hAnsi="Times New Roman" w:eastAsia="Times New Roman" w:cs="Times New Roman"/>
          <w:kern w:val="0"/>
          <w:sz w:val="24"/>
          <w:szCs w:val="24"/>
        </w:rPr>
        <w:t xml:space="preserve">  </w:t>
      </w:r>
      <w:r>
        <w:rPr>
          <w:rFonts w:ascii="Times New Roman" w:hAnsi="Times New Roman" w:eastAsia="楷体" w:cs="Times New Roman"/>
        </w:rPr>
        <w:t>甘肃省聚焦做好</w:t>
      </w:r>
      <w:r>
        <w:rPr>
          <w:rFonts w:ascii="Times New Roman" w:hAnsi="Times New Roman" w:cs="Times New Roman"/>
        </w:rPr>
        <w:t>“</w:t>
      </w:r>
      <w:r>
        <w:rPr>
          <w:rFonts w:ascii="Times New Roman" w:hAnsi="Times New Roman" w:eastAsia="楷体" w:cs="Times New Roman"/>
        </w:rPr>
        <w:t>土特产</w:t>
      </w:r>
      <w:r>
        <w:rPr>
          <w:rFonts w:ascii="Times New Roman" w:hAnsi="Times New Roman" w:cs="Times New Roman"/>
        </w:rPr>
        <w:t>”</w:t>
      </w:r>
      <w:r>
        <w:rPr>
          <w:rFonts w:ascii="Times New Roman" w:hAnsi="Times New Roman" w:eastAsia="楷体" w:cs="Times New Roman"/>
        </w:rPr>
        <w:t>文章，在全国率先建设</w:t>
      </w:r>
      <w:r>
        <w:rPr>
          <w:rFonts w:ascii="Times New Roman" w:hAnsi="Times New Roman" w:cs="Times New Roman"/>
        </w:rPr>
        <w:t>“</w:t>
      </w:r>
      <w:r>
        <w:rPr>
          <w:rFonts w:ascii="Times New Roman" w:hAnsi="Times New Roman" w:eastAsia="楷体" w:cs="Times New Roman"/>
        </w:rPr>
        <w:t>甘味</w:t>
      </w:r>
      <w:r>
        <w:rPr>
          <w:rFonts w:ascii="Times New Roman" w:hAnsi="Times New Roman" w:cs="Times New Roman"/>
        </w:rPr>
        <w:t>”</w:t>
      </w:r>
      <w:r>
        <w:rPr>
          <w:rFonts w:ascii="Times New Roman" w:hAnsi="Times New Roman" w:eastAsia="楷体" w:cs="Times New Roman"/>
        </w:rPr>
        <w:t>省级农产品区域公用品牌，奋力书写乡村振兴新篇章。近年来，甘肃省深入挖掘资源优势，构建起以</w:t>
      </w:r>
      <w:r>
        <w:rPr>
          <w:rFonts w:ascii="Times New Roman" w:hAnsi="Times New Roman" w:cs="Times New Roman"/>
        </w:rPr>
        <w:t>“</w:t>
      </w:r>
      <w:r>
        <w:rPr>
          <w:rFonts w:ascii="Times New Roman" w:hAnsi="Times New Roman" w:eastAsia="楷体" w:cs="Times New Roman"/>
        </w:rPr>
        <w:t>牛羊菜果薯药</w:t>
      </w:r>
      <w:r>
        <w:rPr>
          <w:rFonts w:ascii="Times New Roman" w:hAnsi="Times New Roman" w:cs="Times New Roman"/>
        </w:rPr>
        <w:t>”</w:t>
      </w:r>
      <w:r>
        <w:rPr>
          <w:rFonts w:ascii="Times New Roman" w:hAnsi="Times New Roman" w:eastAsia="楷体" w:cs="Times New Roman"/>
        </w:rPr>
        <w:t>六大产业为主导、众多地域品种为补充的现代特色农业产业体系，打造了具有鲜明地域特点和文化特色的</w:t>
      </w:r>
      <w:r>
        <w:rPr>
          <w:rFonts w:ascii="Times New Roman" w:hAnsi="Times New Roman" w:cs="Times New Roman"/>
        </w:rPr>
        <w:t>“</w:t>
      </w:r>
      <w:r>
        <w:rPr>
          <w:rFonts w:ascii="Times New Roman" w:hAnsi="Times New Roman" w:eastAsia="楷体" w:cs="Times New Roman"/>
        </w:rPr>
        <w:t>甘味</w:t>
      </w:r>
      <w:r>
        <w:rPr>
          <w:rFonts w:ascii="Times New Roman" w:hAnsi="Times New Roman" w:cs="Times New Roman"/>
        </w:rPr>
        <w:t>”</w:t>
      </w:r>
      <w:r>
        <w:rPr>
          <w:rFonts w:ascii="Times New Roman" w:hAnsi="Times New Roman" w:eastAsia="楷体" w:cs="Times New Roman"/>
        </w:rPr>
        <w:t>品牌。</w:t>
      </w:r>
    </w:p>
    <w:p w14:paraId="0E6EE546">
      <w:pPr>
        <w:spacing w:line="360" w:lineRule="auto"/>
        <w:ind w:left="420"/>
        <w:jc w:val="left"/>
        <w:textAlignment w:val="center"/>
        <w:rPr>
          <w:rFonts w:ascii="Times New Roman" w:hAnsi="Times New Roman" w:cs="Times New Roman"/>
        </w:rPr>
      </w:pPr>
      <w:r>
        <w:rPr>
          <w:rFonts w:ascii="Times New Roman" w:hAnsi="Times New Roman" w:eastAsia="楷体" w:cs="Times New Roman"/>
        </w:rPr>
        <w:t>过去一年，甘肃省在新加坡、韩国等国，以及国内北京、上海等地共举办</w:t>
      </w:r>
      <w:r>
        <w:rPr>
          <w:rFonts w:ascii="Times New Roman" w:hAnsi="Times New Roman" w:cs="Times New Roman"/>
        </w:rPr>
        <w:t>“</w:t>
      </w:r>
      <w:r>
        <w:rPr>
          <w:rFonts w:ascii="Times New Roman" w:hAnsi="Times New Roman" w:eastAsia="楷体" w:cs="Times New Roman"/>
        </w:rPr>
        <w:t>甘味出陇出海</w:t>
      </w:r>
      <w:r>
        <w:rPr>
          <w:rFonts w:ascii="Times New Roman" w:hAnsi="Times New Roman" w:cs="Times New Roman"/>
        </w:rPr>
        <w:t>”</w:t>
      </w:r>
      <w:r>
        <w:rPr>
          <w:rFonts w:ascii="Times New Roman" w:hAnsi="Times New Roman" w:eastAsia="楷体" w:cs="Times New Roman"/>
        </w:rPr>
        <w:t>系列活动38场次，展示展销600余家企业的2000多种</w:t>
      </w:r>
      <w:r>
        <w:rPr>
          <w:rFonts w:ascii="Times New Roman" w:hAnsi="Times New Roman" w:cs="Times New Roman"/>
        </w:rPr>
        <w:t>“</w:t>
      </w:r>
      <w:r>
        <w:rPr>
          <w:rFonts w:ascii="Times New Roman" w:hAnsi="Times New Roman" w:eastAsia="楷体" w:cs="Times New Roman"/>
        </w:rPr>
        <w:t>甘味</w:t>
      </w:r>
      <w:r>
        <w:rPr>
          <w:rFonts w:ascii="Times New Roman" w:hAnsi="Times New Roman" w:cs="Times New Roman"/>
        </w:rPr>
        <w:t>”</w:t>
      </w:r>
      <w:r>
        <w:rPr>
          <w:rFonts w:ascii="Times New Roman" w:hAnsi="Times New Roman" w:eastAsia="楷体" w:cs="Times New Roman"/>
        </w:rPr>
        <w:t>农产品，签署各类合作项目275个，签约金额285亿元以上。通过政府、市场两手并用，省市县三级联动，政府、企业、行业协会共同发力，</w:t>
      </w:r>
      <w:r>
        <w:rPr>
          <w:rFonts w:ascii="Times New Roman" w:hAnsi="Times New Roman" w:cs="Times New Roman"/>
        </w:rPr>
        <w:t>“</w:t>
      </w:r>
      <w:r>
        <w:rPr>
          <w:rFonts w:ascii="Times New Roman" w:hAnsi="Times New Roman" w:eastAsia="楷体" w:cs="Times New Roman"/>
        </w:rPr>
        <w:t>甘味</w:t>
      </w:r>
      <w:r>
        <w:rPr>
          <w:rFonts w:ascii="Times New Roman" w:hAnsi="Times New Roman" w:cs="Times New Roman"/>
        </w:rPr>
        <w:t>”</w:t>
      </w:r>
      <w:r>
        <w:rPr>
          <w:rFonts w:ascii="Times New Roman" w:hAnsi="Times New Roman" w:eastAsia="楷体" w:cs="Times New Roman"/>
        </w:rPr>
        <w:t>品牌竞争力明显提升。2024年，全省</w:t>
      </w:r>
      <w:r>
        <w:rPr>
          <w:rFonts w:ascii="Times New Roman" w:hAnsi="Times New Roman" w:cs="Times New Roman"/>
        </w:rPr>
        <w:t>“</w:t>
      </w:r>
      <w:r>
        <w:rPr>
          <w:rFonts w:ascii="Times New Roman" w:hAnsi="Times New Roman" w:eastAsia="楷体" w:cs="Times New Roman"/>
        </w:rPr>
        <w:t>甘味</w:t>
      </w:r>
      <w:r>
        <w:rPr>
          <w:rFonts w:ascii="Times New Roman" w:hAnsi="Times New Roman" w:cs="Times New Roman"/>
        </w:rPr>
        <w:t>”</w:t>
      </w:r>
      <w:r>
        <w:rPr>
          <w:rFonts w:ascii="Times New Roman" w:hAnsi="Times New Roman" w:eastAsia="楷体" w:cs="Times New Roman"/>
        </w:rPr>
        <w:t>农产品销售额达309亿元，同比增长14.4%，助推2024年全省第一产业增加值增长6.6%，增速居全国第2位，农村居民人均可支配收入增长7.4%、增速居全国第3位，农产品出口37.4亿元、同比增长27.8%。</w:t>
      </w:r>
    </w:p>
    <w:p w14:paraId="444F824A">
      <w:pPr>
        <w:spacing w:line="360" w:lineRule="auto"/>
        <w:ind w:left="420"/>
        <w:jc w:val="left"/>
        <w:textAlignment w:val="center"/>
        <w:rPr>
          <w:rFonts w:ascii="Times New Roman" w:hAnsi="Times New Roman" w:cs="Times New Roman"/>
        </w:rPr>
      </w:pPr>
      <w:r>
        <w:rPr>
          <w:rFonts w:ascii="Times New Roman" w:hAnsi="Times New Roman" w:eastAsia="楷体" w:cs="Times New Roman"/>
        </w:rPr>
        <w:t>材料二</w:t>
      </w:r>
      <w:r>
        <w:rPr>
          <w:rFonts w:ascii="Times New Roman" w:hAnsi="Times New Roman" w:eastAsia="Times New Roman" w:cs="Times New Roman"/>
          <w:kern w:val="0"/>
          <w:sz w:val="24"/>
          <w:szCs w:val="24"/>
        </w:rPr>
        <w:t xml:space="preserve">  </w:t>
      </w:r>
      <w:r>
        <w:rPr>
          <w:rFonts w:ascii="Times New Roman" w:hAnsi="Times New Roman" w:cs="Times New Roman"/>
        </w:rPr>
        <w:t>“</w:t>
      </w:r>
      <w:r>
        <w:rPr>
          <w:rFonts w:ascii="Times New Roman" w:hAnsi="Times New Roman" w:eastAsia="楷体" w:cs="Times New Roman"/>
        </w:rPr>
        <w:t>甘味出陇出海</w:t>
      </w:r>
      <w:r>
        <w:rPr>
          <w:rFonts w:ascii="Times New Roman" w:hAnsi="Times New Roman" w:cs="Times New Roman"/>
        </w:rPr>
        <w:t>”</w:t>
      </w:r>
      <w:r>
        <w:rPr>
          <w:rFonts w:ascii="Times New Roman" w:hAnsi="Times New Roman" w:eastAsia="楷体" w:cs="Times New Roman"/>
        </w:rPr>
        <w:t>过程中，难免产生一些民事纠纷。</w:t>
      </w:r>
      <w:r>
        <w:rPr>
          <w:rFonts w:ascii="Times New Roman" w:hAnsi="Times New Roman" w:cs="Times New Roman"/>
        </w:rPr>
        <w:t>“</w:t>
      </w:r>
      <w:r>
        <w:rPr>
          <w:rFonts w:ascii="Times New Roman" w:hAnsi="Times New Roman" w:eastAsia="楷体" w:cs="Times New Roman"/>
        </w:rPr>
        <w:t>甘味</w:t>
      </w:r>
      <w:r>
        <w:rPr>
          <w:rFonts w:ascii="Times New Roman" w:hAnsi="Times New Roman" w:cs="Times New Roman"/>
        </w:rPr>
        <w:t>”</w:t>
      </w:r>
      <w:r>
        <w:rPr>
          <w:rFonts w:ascii="Times New Roman" w:hAnsi="Times New Roman" w:eastAsia="楷体" w:cs="Times New Roman"/>
        </w:rPr>
        <w:t>农产品种植户甲与客户乙签订了供货合同，乙预付定金5000元，后乙联系甲要求每公斤降价10元。甲给乙做了解释，乙考虑后同意甲按照原约定价格发货。货物运输到某地时洪水冲断了道路，甲及时通知了乙，交货时间最终比合同约定时间晚了一天，但产品品质并未受到影响。乙要求甲承担违约责任，甲给乙又做了解释，乙决定免除甲的违约责任。</w:t>
      </w:r>
    </w:p>
    <w:p w14:paraId="336F7D7F">
      <w:pPr>
        <w:spacing w:line="360" w:lineRule="auto"/>
        <w:ind w:left="420"/>
        <w:jc w:val="left"/>
        <w:textAlignment w:val="center"/>
        <w:rPr>
          <w:rFonts w:ascii="Times New Roman" w:hAnsi="Times New Roman" w:cs="Times New Roman"/>
        </w:rPr>
      </w:pPr>
      <w:r>
        <w:rPr>
          <w:rFonts w:ascii="Times New Roman" w:hAnsi="Times New Roman" w:cs="Times New Roman"/>
        </w:rPr>
        <w:t>(1)结合材料一，运用《经济与社会》相关知识，分别从企业和政府角度谈谈在推动“甘味出陇出海”中如何提升“甘味”品牌竞争力。</w:t>
      </w:r>
    </w:p>
    <w:p w14:paraId="7D8DE335">
      <w:pPr>
        <w:spacing w:line="360" w:lineRule="auto"/>
        <w:ind w:left="420"/>
        <w:jc w:val="left"/>
        <w:textAlignment w:val="center"/>
        <w:rPr>
          <w:rFonts w:ascii="Times New Roman" w:hAnsi="Times New Roman" w:cs="Times New Roman"/>
        </w:rPr>
      </w:pPr>
      <w:r>
        <w:rPr>
          <w:rFonts w:ascii="Times New Roman" w:hAnsi="Times New Roman" w:cs="Times New Roman"/>
        </w:rPr>
        <w:t>(2)结合材料二，运用《法律与生活》相关知识，说出甲两次说服乙的法律依据。</w:t>
      </w:r>
    </w:p>
    <w:p w14:paraId="3288F1E4">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【答案】(1)企业角度：</w:t>
      </w:r>
      <w:r>
        <w:rPr>
          <w:rFonts w:hint="eastAsia" w:ascii="宋体" w:hAnsi="宋体" w:eastAsia="宋体" w:cs="宋体"/>
          <w:color w:val="FF0000"/>
        </w:rPr>
        <w:t>①</w:t>
      </w:r>
      <w:r>
        <w:rPr>
          <w:rFonts w:ascii="Times New Roman" w:hAnsi="Times New Roman" w:cs="Times New Roman"/>
          <w:color w:val="FF0000"/>
        </w:rPr>
        <w:t>提升产品质量与特色，企业要立足本地资源优势，加大研发投入，依靠科技创新，改良农产品品种，提高农产品品质，生产出绿色、健康、差异化、高品质的“甘味”农产品，增强品牌竞争力。</w:t>
      </w:r>
      <w:r>
        <w:rPr>
          <w:rFonts w:hint="eastAsia" w:ascii="宋体" w:hAnsi="宋体" w:eastAsia="宋体" w:cs="宋体"/>
          <w:color w:val="FF0000"/>
        </w:rPr>
        <w:t>②</w:t>
      </w:r>
      <w:r>
        <w:rPr>
          <w:rFonts w:ascii="Times New Roman" w:hAnsi="Times New Roman" w:cs="Times New Roman"/>
          <w:color w:val="FF0000"/>
        </w:rPr>
        <w:t>加强品牌建设，企业要注重品牌的培育和推广，通过塑造独特的品牌形象，提升品牌的知名度和美誉度，提高附加值，并利用多种营销渠道，扩大品牌的传播范围，吸引更多消费者。</w:t>
      </w:r>
      <w:r>
        <w:rPr>
          <w:rFonts w:hint="eastAsia" w:ascii="宋体" w:hAnsi="宋体" w:eastAsia="宋体" w:cs="宋体"/>
          <w:color w:val="FF0000"/>
        </w:rPr>
        <w:t>③</w:t>
      </w:r>
      <w:r>
        <w:rPr>
          <w:rFonts w:ascii="Times New Roman" w:hAnsi="Times New Roman" w:cs="Times New Roman"/>
          <w:color w:val="FF0000"/>
        </w:rPr>
        <w:t xml:space="preserve">拓展市场渠道，积极拓展国内外市场，除了参加各类展会、推介会等线下活动外，还应充分利用互联网技术，开展线上销售，拓展销售渠道，提高“甘味”农产品的市场占有率。 </w:t>
      </w:r>
    </w:p>
    <w:p w14:paraId="28F72FB1">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政府角度：</w:t>
      </w:r>
      <w:r>
        <w:rPr>
          <w:rFonts w:hint="eastAsia" w:ascii="宋体" w:hAnsi="宋体" w:eastAsia="宋体" w:cs="宋体"/>
          <w:color w:val="FF0000"/>
        </w:rPr>
        <w:t>①</w:t>
      </w:r>
      <w:r>
        <w:rPr>
          <w:rFonts w:ascii="Times New Roman" w:hAnsi="Times New Roman" w:cs="Times New Roman"/>
          <w:color w:val="FF0000"/>
        </w:rPr>
        <w:t>政府要加强政策支持，制定产业规划，提供资金、技术等扶持，用于支持企业开展品牌建设、市场推广、技术研发等活动。同时，落实税收优惠政策，减轻企业负担，鼓励企业积极参与“甘味”品牌建设。</w:t>
      </w:r>
      <w:r>
        <w:rPr>
          <w:rFonts w:hint="eastAsia" w:ascii="宋体" w:hAnsi="宋体" w:eastAsia="宋体" w:cs="宋体"/>
          <w:color w:val="FF0000"/>
        </w:rPr>
        <w:t>②</w:t>
      </w:r>
      <w:r>
        <w:rPr>
          <w:rFonts w:ascii="Times New Roman" w:hAnsi="Times New Roman" w:cs="Times New Roman"/>
          <w:color w:val="FF0000"/>
        </w:rPr>
        <w:t>加强质量监管，强化品牌保护与推广。建立区域公用品牌标准体系，加强市场监管和知识产权保护，提升品牌公信力。</w:t>
      </w:r>
      <w:r>
        <w:rPr>
          <w:rFonts w:hint="eastAsia" w:ascii="宋体" w:hAnsi="宋体" w:eastAsia="宋体" w:cs="宋体"/>
          <w:color w:val="FF0000"/>
        </w:rPr>
        <w:t>③</w:t>
      </w:r>
      <w:r>
        <w:rPr>
          <w:rFonts w:ascii="Times New Roman" w:hAnsi="Times New Roman" w:cs="Times New Roman"/>
          <w:color w:val="FF0000"/>
        </w:rPr>
        <w:t>政府应积极搭建“甘味”农产品交流合作平台，加强与国内外企业的交流与合作，拓宽“甘味”农产品的销售渠道，提高品牌的知名度和影响力。同时，加强与科研机构、高校的合作，为企业提供技术支持和人才保障，推动“甘味”农产品品牌的创新发展。</w:t>
      </w:r>
    </w:p>
    <w:p w14:paraId="1D64E2D4">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(2)第一次：合同订立后，双方当事人应当按照合同约定全面履行自己的义务。双方已就价格达成合意签订合同，乙要求降价属于单方变更合同内容。甲有权拒绝，乙最终同意按原价格发货，双方应按原合同履行。</w:t>
      </w:r>
    </w:p>
    <w:p w14:paraId="495E9D3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第二次：根据法律规定，因不可抗力不能履行合同的，根据不可抗力的影响，部分或者全部免除责任。洪水属于不能预见、不能避免的客观情况，甲及时通知乙，且产品品质未受损，乙应免除甲的违约责任。</w:t>
      </w:r>
    </w:p>
    <w:p w14:paraId="5BAD4B40">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【分析】背景素材：甘肃省聚焦做好“土特产”文章、合同纠纷</w:t>
      </w:r>
    </w:p>
    <w:p w14:paraId="7B85E7C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考点考查：坚持“两个毫不动摇”、更好发挥政府作用、订约履约诚信为本</w:t>
      </w:r>
    </w:p>
    <w:p w14:paraId="45D4C2BA">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能力考查：描述和阐述事物、论证和探究问题的能力</w:t>
      </w:r>
    </w:p>
    <w:p w14:paraId="32107543">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核心素养：政治认同、科学精神、法治意识</w:t>
      </w:r>
    </w:p>
    <w:p w14:paraId="326C917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【详解】（1）第一步：审设问，明确主体、作答范围、问题限定和作答角度。本题属于措施类主观题，需调用坚持“两个毫不动摇”、更好发挥政府作用的相关知识结合材料有效信息分析作答。</w:t>
      </w:r>
    </w:p>
    <w:p w14:paraId="7AFE4F7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第二步：审材料，提取关键词，链接教材知识。</w:t>
      </w:r>
    </w:p>
    <w:p w14:paraId="4B7D68A5">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关键词</w:t>
      </w:r>
      <w:r>
        <w:rPr>
          <w:rFonts w:hint="eastAsia" w:ascii="宋体" w:hAnsi="宋体" w:eastAsia="宋体" w:cs="宋体"/>
          <w:color w:val="FF0000"/>
        </w:rPr>
        <w:t>①</w:t>
      </w:r>
      <w:r>
        <w:rPr>
          <w:rFonts w:ascii="Times New Roman" w:hAnsi="Times New Roman" w:cs="Times New Roman"/>
          <w:color w:val="FF0000"/>
        </w:rPr>
        <w:t>：甘肃省深入挖掘资源优势，构建起以“牛羊菜果薯药”六大产业为主导、众多地域品种为补充的现代特色农业产业体系→运用企业经营成功因素的知识，从产品质量的角度分析：立足本地资源优势，依靠科技创新，提高农产品品质，打造差异化、高品质农产品，增强核心竞争力。</w:t>
      </w:r>
    </w:p>
    <w:p w14:paraId="10880504">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关键词</w:t>
      </w:r>
      <w:r>
        <w:rPr>
          <w:rFonts w:hint="eastAsia" w:ascii="宋体" w:hAnsi="宋体" w:eastAsia="宋体" w:cs="宋体"/>
          <w:color w:val="FF0000"/>
        </w:rPr>
        <w:t>②</w:t>
      </w:r>
      <w:r>
        <w:rPr>
          <w:rFonts w:ascii="Times New Roman" w:hAnsi="Times New Roman" w:cs="Times New Roman"/>
          <w:color w:val="FF0000"/>
        </w:rPr>
        <w:t>：打造了具有鲜明地域特点和文化特色的“甘味”品牌→运用企业经营成功因素的知识，从品牌建设的角度分析：通过技术创新、包装设计、文化赋能等方式，塑造“甘味”品牌形象，提高附加值，并利用多种营销渠道，扩大品牌的传播范围。</w:t>
      </w:r>
    </w:p>
    <w:p w14:paraId="159F78E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关键词</w:t>
      </w:r>
      <w:r>
        <w:rPr>
          <w:rFonts w:hint="eastAsia" w:ascii="宋体" w:hAnsi="宋体" w:eastAsia="宋体" w:cs="宋体"/>
          <w:color w:val="FF0000"/>
        </w:rPr>
        <w:t>③</w:t>
      </w:r>
      <w:r>
        <w:rPr>
          <w:rFonts w:ascii="Times New Roman" w:hAnsi="Times New Roman" w:cs="Times New Roman"/>
          <w:color w:val="FF0000"/>
        </w:rPr>
        <w:t>：甘肃省在新加坡、韩国等国，以及国内北京、上海等地共举办“甘味出陇出海”系列活动38场次，展示展销600余家企业的2000多种“甘味”农产品，签署各类合作项目275个→运用企业经营成功因素的知识，从销售渠道的角度分析：积极参与国内外展销活动，并充分利用互联网技术，拓展销售渠道，提高市场占有率。</w:t>
      </w:r>
    </w:p>
    <w:p w14:paraId="1F08D2E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关键词</w:t>
      </w:r>
      <w:r>
        <w:rPr>
          <w:rFonts w:hint="eastAsia" w:ascii="宋体" w:hAnsi="宋体" w:eastAsia="宋体" w:cs="宋体"/>
          <w:color w:val="FF0000"/>
        </w:rPr>
        <w:t>④</w:t>
      </w:r>
      <w:r>
        <w:rPr>
          <w:rFonts w:ascii="Times New Roman" w:hAnsi="Times New Roman" w:cs="Times New Roman"/>
          <w:color w:val="FF0000"/>
        </w:rPr>
        <w:t>：构建起以“牛羊菜果薯药”六大产业为主导、众多地域品种为补充的现代特色农业产业体系→运用更好发挥政府作用的知识，从宏观经济政策的角度分析：制定产业规划，提供资金、技术、税收优惠等政策扶持，推动产业规模化发展。</w:t>
      </w:r>
    </w:p>
    <w:p w14:paraId="52A90D3C">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关键词</w:t>
      </w:r>
      <w:r>
        <w:rPr>
          <w:rFonts w:hint="eastAsia" w:ascii="宋体" w:hAnsi="宋体" w:eastAsia="宋体" w:cs="宋体"/>
          <w:color w:val="FF0000"/>
        </w:rPr>
        <w:t>⑤</w:t>
      </w:r>
      <w:r>
        <w:rPr>
          <w:rFonts w:ascii="Times New Roman" w:hAnsi="Times New Roman" w:cs="Times New Roman"/>
          <w:color w:val="FF0000"/>
        </w:rPr>
        <w:t>：通过政府、市场两手并用，省市县三级联动，政府、企业、行业协会共同发力，“甘味”品牌竞争力明显提升→运用更好发挥政府作用的知识，从加强市场监管的角度分析：加强市场监管和知识产权保护，提升品牌公信力。</w:t>
      </w:r>
    </w:p>
    <w:p w14:paraId="56CD95FF">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关键词</w:t>
      </w:r>
      <w:r>
        <w:rPr>
          <w:rFonts w:hint="eastAsia" w:ascii="宋体" w:hAnsi="宋体" w:eastAsia="宋体" w:cs="宋体"/>
          <w:color w:val="FF0000"/>
        </w:rPr>
        <w:t>⑥</w:t>
      </w:r>
      <w:r>
        <w:rPr>
          <w:rFonts w:ascii="Times New Roman" w:hAnsi="Times New Roman" w:cs="Times New Roman"/>
          <w:color w:val="FF0000"/>
        </w:rPr>
        <w:t>：甘肃省在新加坡、韩国等国，以及国内北京、上海等地共举办“甘味出陇出海”系列活动38场次，展示展销600余家企业的2000多种“甘味”农产品，签署各类合作项目275个→运用更好发挥政府作用的知识，从优化公共服务的角度分析：应积极搭建农产品交流合作平台，提高品牌的知名度和影响力，并加强与科研机构、高校的合作，为企业提供技术支持和人才保障。</w:t>
      </w:r>
    </w:p>
    <w:p w14:paraId="39F13891">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第三步：整合信息，组织答案。注意设问限定以及教材知识与材料、时政信息等相结合。</w:t>
      </w:r>
    </w:p>
    <w:p w14:paraId="7BC7A62A">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（2）第一步：审设问，明确主体、作答范围、问题限定和作答角度。本题属于分析说明类主观题，需调用订约履约诚信为本的相关知识结合材料有效信息分析作答。</w:t>
      </w:r>
    </w:p>
    <w:p w14:paraId="241319AB">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第二步：审材料，提取关键词，链接教材知识。</w:t>
      </w:r>
    </w:p>
    <w:p w14:paraId="38BAFCFA">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关键词</w:t>
      </w:r>
      <w:r>
        <w:rPr>
          <w:rFonts w:hint="eastAsia" w:ascii="宋体" w:hAnsi="宋体" w:eastAsia="宋体" w:cs="宋体"/>
          <w:color w:val="FF0000"/>
        </w:rPr>
        <w:t>①</w:t>
      </w:r>
      <w:r>
        <w:rPr>
          <w:rFonts w:ascii="Times New Roman" w:hAnsi="Times New Roman" w:cs="Times New Roman"/>
          <w:color w:val="FF0000"/>
        </w:rPr>
        <w:t>：“甘味”农产品种植户甲与客户乙签订了供货合同，已预付定金5000元，后乙联系甲要求每公斤降价10元。甲给乙做了解释，乙考虑后同意甲按照原约定价格发货→从合同成立、变更及履行的角度分析：联系当事人应当按照约定全面履行自己的义务，分析双方已就价格达成合意签订合同，合同成立并有效，乙要求降价属于单方变更合同内容，因此甲有权拒绝，乙需要按原合同履行。</w:t>
      </w:r>
    </w:p>
    <w:p w14:paraId="032D7C3E">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关键词</w:t>
      </w:r>
      <w:r>
        <w:rPr>
          <w:rFonts w:hint="eastAsia" w:ascii="宋体" w:hAnsi="宋体" w:eastAsia="宋体" w:cs="宋体"/>
          <w:color w:val="FF0000"/>
        </w:rPr>
        <w:t>②</w:t>
      </w:r>
      <w:r>
        <w:rPr>
          <w:rFonts w:ascii="Times New Roman" w:hAnsi="Times New Roman" w:cs="Times New Roman"/>
          <w:color w:val="FF0000"/>
        </w:rPr>
        <w:t>：货物运输到某地时洪水冲断了道路，甲及时通知了乙，交货时间最终比合同约定时间晚了一天，但产品品质并未受到影响。乙要求甲承担违约责任，甲给乙又做了解释，乙决定免除甲的违约责任→从违约与违约责任承担的角度分析：联系不可抗力，分析洪水属于不能预见、不能避免的客观情况，甲及时通知乙，且产品品质未受损，乙应免除甲的违约责任。</w:t>
      </w:r>
    </w:p>
    <w:p w14:paraId="7347B20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第三步：整合信息，组织答案。注意设问限定以及教材知识与材料、时政信息等相结合。</w:t>
      </w:r>
    </w:p>
    <w:p w14:paraId="6AEC2204">
      <w:pPr>
        <w:spacing w:line="360" w:lineRule="auto"/>
        <w:ind w:left="420"/>
        <w:jc w:val="left"/>
        <w:textAlignment w:val="center"/>
        <w:rPr>
          <w:rFonts w:ascii="Times New Roman" w:hAnsi="Times New Roman" w:cs="Times New Roman"/>
        </w:rPr>
      </w:pPr>
    </w:p>
    <w:p w14:paraId="2CEB7957">
      <w:pPr>
        <w:spacing w:line="360" w:lineRule="auto"/>
        <w:ind w:left="420"/>
        <w:rPr>
          <w:rFonts w:ascii="Times New Roman" w:hAnsi="Times New Roman" w:eastAsia="宋体" w:cs="Times New Roman"/>
          <w:b/>
          <w:bCs/>
        </w:rPr>
      </w:pPr>
    </w:p>
    <w:sectPr>
      <w:headerReference r:id="rId3" w:type="default"/>
      <w:footerReference r:id="rId4" w:type="default"/>
      <w:pgSz w:w="11906" w:h="16838"/>
      <w:pgMar w:top="1440" w:right="1083" w:bottom="1440" w:left="1083" w:header="851" w:footer="992" w:gutter="0"/>
      <w:cols w:space="425" w:num="1"/>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4800A">
    <w:pPr>
      <w:jc w:val="center"/>
    </w:pPr>
    <w:r>
      <w:rPr>
        <w:rFonts w:ascii="Times New Roman" w:hAnsi="Times New Roman" w:eastAsia="Times New Roman"/>
      </w:rPr>
      <w:fldChar w:fldCharType="begin"/>
    </w:r>
    <w:r>
      <w:rPr>
        <w:rFonts w:ascii="Times New Roman" w:hAnsi="Times New Roman" w:eastAsia="Times New Roman"/>
      </w:rPr>
      <w:instrText xml:space="preserve">PAGE</w:instrText>
    </w:r>
    <w:r>
      <w:rPr>
        <w:rFonts w:ascii="Times New Roman" w:hAnsi="Times New Roman" w:eastAsia="Times New Roman"/>
      </w:rPr>
      <w:fldChar w:fldCharType="separate"/>
    </w:r>
    <w:r>
      <w:rPr>
        <w:rFonts w:ascii="Times New Roman" w:hAnsi="Times New Roman" w:eastAsia="Times New Roman"/>
      </w:rPr>
      <w:t>1</w:t>
    </w:r>
    <w:r>
      <w:rPr>
        <w:rFonts w:ascii="Times New Roman" w:hAnsi="Times New Roman" w:eastAsia="Times New Roman"/>
      </w:rPr>
      <w:fldChar w:fldCharType="end"/>
    </w:r>
    <w:r>
      <w:rPr>
        <w:rFonts w:ascii="Times New Roman" w:hAnsi="Times New Roman" w:eastAsia="Times New Roman"/>
      </w:rPr>
      <w:t xml:space="preserve"> / </w:t>
    </w:r>
    <w:r>
      <w:rPr>
        <w:rFonts w:ascii="Times New Roman" w:hAnsi="Times New Roman" w:eastAsia="Times New Roman"/>
      </w:rPr>
      <w:fldChar w:fldCharType="begin"/>
    </w:r>
    <w:r>
      <w:rPr>
        <w:rFonts w:ascii="Times New Roman" w:hAnsi="Times New Roman" w:eastAsia="Times New Roman"/>
      </w:rPr>
      <w:instrText xml:space="preserve">NUMPAGES</w:instrText>
    </w:r>
    <w:r>
      <w:rPr>
        <w:rFonts w:ascii="Times New Roman" w:hAnsi="Times New Roman" w:eastAsia="Times New Roman"/>
      </w:rPr>
      <w:fldChar w:fldCharType="separate"/>
    </w:r>
    <w:r>
      <w:rPr>
        <w:rFonts w:ascii="Times New Roman" w:hAnsi="Times New Roman" w:eastAsia="Times New Roman"/>
      </w:rPr>
      <w:t>25</w:t>
    </w:r>
    <w:r>
      <w:rPr>
        <w:rFonts w:ascii="Times New Roman" w:hAnsi="Times New Roman" w:eastAsia="Times New Roman"/>
      </w:rPr>
      <w:fldChar w:fldCharType="end"/>
    </w:r>
  </w:p>
  <w:p w14:paraId="44B4B63E">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2830B">
    <w:r>
      <w:t xml:space="preserve"> </w:t>
    </w:r>
    <w:r>
      <w:rPr>
        <w:rFonts w:hint="eastAsia"/>
        <w:lang w:eastAsia="zh-CN"/>
      </w:rPr>
      <w:t>杨府山高复</w:t>
    </w:r>
    <w:r>
      <w:rPr>
        <w:rFonts w:hint="eastAsia"/>
        <w:lang w:val="en-US" w:eastAsia="zh-CN"/>
      </w:rPr>
      <w:t xml:space="preserve">   拼搏一年  荣达一生</w:t>
    </w:r>
  </w:p>
  <w:p w14:paraId="66D08278">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5239EF"/>
    <w:multiLevelType w:val="singleLevel"/>
    <w:tmpl w:val="0D5239E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2310"/>
  <w:drawingGridHorizontalSpacing w:val="106"/>
  <w:drawingGridVerticalSpacing w:val="159"/>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yZDQ1MzZjZWRhMGZlNDU3Yjg4ZGMwZDk4ZDBlNWIifQ=="/>
  </w:docVars>
  <w:rsids>
    <w:rsidRoot w:val="00363227"/>
    <w:rsid w:val="0001360E"/>
    <w:rsid w:val="000216D8"/>
    <w:rsid w:val="00041561"/>
    <w:rsid w:val="00051F46"/>
    <w:rsid w:val="000A16CF"/>
    <w:rsid w:val="000C2F75"/>
    <w:rsid w:val="000D38AA"/>
    <w:rsid w:val="000D7007"/>
    <w:rsid w:val="000E4A0D"/>
    <w:rsid w:val="00146953"/>
    <w:rsid w:val="001D66EB"/>
    <w:rsid w:val="001E5426"/>
    <w:rsid w:val="001F3490"/>
    <w:rsid w:val="0027067E"/>
    <w:rsid w:val="002771D2"/>
    <w:rsid w:val="002E56FE"/>
    <w:rsid w:val="00302400"/>
    <w:rsid w:val="00323FA9"/>
    <w:rsid w:val="00363227"/>
    <w:rsid w:val="0037342B"/>
    <w:rsid w:val="003C5C81"/>
    <w:rsid w:val="0040402F"/>
    <w:rsid w:val="004151FC"/>
    <w:rsid w:val="0047331D"/>
    <w:rsid w:val="00481283"/>
    <w:rsid w:val="00486104"/>
    <w:rsid w:val="0051447A"/>
    <w:rsid w:val="005340C6"/>
    <w:rsid w:val="0054712E"/>
    <w:rsid w:val="0056487D"/>
    <w:rsid w:val="0059489A"/>
    <w:rsid w:val="005D3656"/>
    <w:rsid w:val="005E09A7"/>
    <w:rsid w:val="00656815"/>
    <w:rsid w:val="006B2D97"/>
    <w:rsid w:val="006E1094"/>
    <w:rsid w:val="006E406D"/>
    <w:rsid w:val="006F4599"/>
    <w:rsid w:val="00796DF7"/>
    <w:rsid w:val="0085328A"/>
    <w:rsid w:val="008B39EC"/>
    <w:rsid w:val="009035F2"/>
    <w:rsid w:val="00913910"/>
    <w:rsid w:val="00A274CB"/>
    <w:rsid w:val="00A46095"/>
    <w:rsid w:val="00A610B7"/>
    <w:rsid w:val="00A90DF3"/>
    <w:rsid w:val="00B205AE"/>
    <w:rsid w:val="00B84DD0"/>
    <w:rsid w:val="00BF2518"/>
    <w:rsid w:val="00BF4AD7"/>
    <w:rsid w:val="00C02FC6"/>
    <w:rsid w:val="00C2613D"/>
    <w:rsid w:val="00C50D8B"/>
    <w:rsid w:val="00C54124"/>
    <w:rsid w:val="00CD0775"/>
    <w:rsid w:val="00D43CCC"/>
    <w:rsid w:val="00DD0D58"/>
    <w:rsid w:val="00F317BE"/>
    <w:rsid w:val="00F419B9"/>
    <w:rsid w:val="00F52A8D"/>
    <w:rsid w:val="00FB4C24"/>
    <w:rsid w:val="00FD734A"/>
    <w:rsid w:val="012453C2"/>
    <w:rsid w:val="01FA47FF"/>
    <w:rsid w:val="02313F99"/>
    <w:rsid w:val="02831858"/>
    <w:rsid w:val="028D3C74"/>
    <w:rsid w:val="02D50685"/>
    <w:rsid w:val="02DB67F1"/>
    <w:rsid w:val="031E62CB"/>
    <w:rsid w:val="03407792"/>
    <w:rsid w:val="036D5B0F"/>
    <w:rsid w:val="038E2690"/>
    <w:rsid w:val="03DD4930"/>
    <w:rsid w:val="04035737"/>
    <w:rsid w:val="040A4AA1"/>
    <w:rsid w:val="040E1956"/>
    <w:rsid w:val="044C352A"/>
    <w:rsid w:val="04745993"/>
    <w:rsid w:val="049B051C"/>
    <w:rsid w:val="04A14030"/>
    <w:rsid w:val="04C95F40"/>
    <w:rsid w:val="04CB5FDF"/>
    <w:rsid w:val="04E43539"/>
    <w:rsid w:val="04EE59C4"/>
    <w:rsid w:val="05214CF2"/>
    <w:rsid w:val="05251F23"/>
    <w:rsid w:val="05F17CC7"/>
    <w:rsid w:val="06216D15"/>
    <w:rsid w:val="064D4451"/>
    <w:rsid w:val="06887047"/>
    <w:rsid w:val="06A37C8A"/>
    <w:rsid w:val="06A4182A"/>
    <w:rsid w:val="06CC6DB3"/>
    <w:rsid w:val="06F127DE"/>
    <w:rsid w:val="071D4718"/>
    <w:rsid w:val="0728596A"/>
    <w:rsid w:val="07717FB8"/>
    <w:rsid w:val="077C400E"/>
    <w:rsid w:val="07A13052"/>
    <w:rsid w:val="07B37F39"/>
    <w:rsid w:val="07E1518D"/>
    <w:rsid w:val="082200E4"/>
    <w:rsid w:val="08292036"/>
    <w:rsid w:val="08843074"/>
    <w:rsid w:val="088A3542"/>
    <w:rsid w:val="091842B5"/>
    <w:rsid w:val="093A02BF"/>
    <w:rsid w:val="0957267A"/>
    <w:rsid w:val="0982332F"/>
    <w:rsid w:val="098E4DDC"/>
    <w:rsid w:val="09CD4E18"/>
    <w:rsid w:val="09D658EE"/>
    <w:rsid w:val="0A0856A7"/>
    <w:rsid w:val="0A246B2F"/>
    <w:rsid w:val="0A6C0445"/>
    <w:rsid w:val="0A890223"/>
    <w:rsid w:val="0AD84291"/>
    <w:rsid w:val="0B3B3D60"/>
    <w:rsid w:val="0B411388"/>
    <w:rsid w:val="0B451E02"/>
    <w:rsid w:val="0B4E74ED"/>
    <w:rsid w:val="0B892750"/>
    <w:rsid w:val="0B996E37"/>
    <w:rsid w:val="0BB53E26"/>
    <w:rsid w:val="0C2C75E1"/>
    <w:rsid w:val="0C9E10BF"/>
    <w:rsid w:val="0CB66F97"/>
    <w:rsid w:val="0CCC4A95"/>
    <w:rsid w:val="0CDA1ACB"/>
    <w:rsid w:val="0D01754B"/>
    <w:rsid w:val="0D7F3E0A"/>
    <w:rsid w:val="0DAB4BFF"/>
    <w:rsid w:val="0DDA2E7D"/>
    <w:rsid w:val="0DDA7292"/>
    <w:rsid w:val="0DF00E1B"/>
    <w:rsid w:val="0E0A5A04"/>
    <w:rsid w:val="0E3959B5"/>
    <w:rsid w:val="0E5144FF"/>
    <w:rsid w:val="0E7769F5"/>
    <w:rsid w:val="0E844E7D"/>
    <w:rsid w:val="0EB242A4"/>
    <w:rsid w:val="0FDF4873"/>
    <w:rsid w:val="0FE34B5A"/>
    <w:rsid w:val="0FF16A62"/>
    <w:rsid w:val="10300C7B"/>
    <w:rsid w:val="105C684D"/>
    <w:rsid w:val="10AD3F84"/>
    <w:rsid w:val="10BB16FE"/>
    <w:rsid w:val="10D206F5"/>
    <w:rsid w:val="110E1E56"/>
    <w:rsid w:val="11115EF7"/>
    <w:rsid w:val="112917EB"/>
    <w:rsid w:val="11621A79"/>
    <w:rsid w:val="11625F1D"/>
    <w:rsid w:val="11877B74"/>
    <w:rsid w:val="11934328"/>
    <w:rsid w:val="11D21107"/>
    <w:rsid w:val="11E46932"/>
    <w:rsid w:val="123E2FFB"/>
    <w:rsid w:val="127012C4"/>
    <w:rsid w:val="12982908"/>
    <w:rsid w:val="12BF5534"/>
    <w:rsid w:val="12C54CD3"/>
    <w:rsid w:val="12C8436C"/>
    <w:rsid w:val="130B11E0"/>
    <w:rsid w:val="135F2210"/>
    <w:rsid w:val="136D24F8"/>
    <w:rsid w:val="139C0C60"/>
    <w:rsid w:val="13D36AC8"/>
    <w:rsid w:val="13D67F52"/>
    <w:rsid w:val="13DF2124"/>
    <w:rsid w:val="13EF5C30"/>
    <w:rsid w:val="143003E4"/>
    <w:rsid w:val="144C1411"/>
    <w:rsid w:val="144F118E"/>
    <w:rsid w:val="146B3036"/>
    <w:rsid w:val="1480407D"/>
    <w:rsid w:val="1484238C"/>
    <w:rsid w:val="148B12E6"/>
    <w:rsid w:val="14C40A87"/>
    <w:rsid w:val="152F138C"/>
    <w:rsid w:val="153C5669"/>
    <w:rsid w:val="159F4573"/>
    <w:rsid w:val="15E4302B"/>
    <w:rsid w:val="15FE3A0D"/>
    <w:rsid w:val="16013F56"/>
    <w:rsid w:val="16571072"/>
    <w:rsid w:val="169F376F"/>
    <w:rsid w:val="16C26C27"/>
    <w:rsid w:val="170F2053"/>
    <w:rsid w:val="172073B0"/>
    <w:rsid w:val="176C3651"/>
    <w:rsid w:val="1770047A"/>
    <w:rsid w:val="17964994"/>
    <w:rsid w:val="179A0189"/>
    <w:rsid w:val="17A252C5"/>
    <w:rsid w:val="17DD21FD"/>
    <w:rsid w:val="18491BE4"/>
    <w:rsid w:val="18550677"/>
    <w:rsid w:val="186F79AF"/>
    <w:rsid w:val="18923606"/>
    <w:rsid w:val="18AF13EC"/>
    <w:rsid w:val="18B25451"/>
    <w:rsid w:val="19143FA0"/>
    <w:rsid w:val="191731B1"/>
    <w:rsid w:val="1AF000F5"/>
    <w:rsid w:val="1B560A32"/>
    <w:rsid w:val="1B6F7ED9"/>
    <w:rsid w:val="1B7C5F4E"/>
    <w:rsid w:val="1BDB2B53"/>
    <w:rsid w:val="1BF22827"/>
    <w:rsid w:val="1C146065"/>
    <w:rsid w:val="1CC25AC1"/>
    <w:rsid w:val="1D077978"/>
    <w:rsid w:val="1D4F5F74"/>
    <w:rsid w:val="1D507571"/>
    <w:rsid w:val="1D5373E8"/>
    <w:rsid w:val="1D927897"/>
    <w:rsid w:val="1E577CC4"/>
    <w:rsid w:val="1F0F5A7F"/>
    <w:rsid w:val="1F3A17F3"/>
    <w:rsid w:val="1F4A1201"/>
    <w:rsid w:val="1F5B2334"/>
    <w:rsid w:val="1FB738D7"/>
    <w:rsid w:val="203F66C7"/>
    <w:rsid w:val="203F7BAD"/>
    <w:rsid w:val="20A47F1D"/>
    <w:rsid w:val="212871CD"/>
    <w:rsid w:val="212F68D1"/>
    <w:rsid w:val="2219112A"/>
    <w:rsid w:val="22437366"/>
    <w:rsid w:val="226250CD"/>
    <w:rsid w:val="228F09AE"/>
    <w:rsid w:val="229A7295"/>
    <w:rsid w:val="23B100DE"/>
    <w:rsid w:val="23F55B53"/>
    <w:rsid w:val="242A0E77"/>
    <w:rsid w:val="24305A06"/>
    <w:rsid w:val="24435161"/>
    <w:rsid w:val="244D65B8"/>
    <w:rsid w:val="244F41BC"/>
    <w:rsid w:val="24CE1786"/>
    <w:rsid w:val="24E714A4"/>
    <w:rsid w:val="250859D0"/>
    <w:rsid w:val="250A3BFF"/>
    <w:rsid w:val="25401C79"/>
    <w:rsid w:val="2566196E"/>
    <w:rsid w:val="258B7811"/>
    <w:rsid w:val="25AA3AD7"/>
    <w:rsid w:val="25E13995"/>
    <w:rsid w:val="25EC35E3"/>
    <w:rsid w:val="25F756FE"/>
    <w:rsid w:val="26666720"/>
    <w:rsid w:val="26DC18E5"/>
    <w:rsid w:val="26F67B3D"/>
    <w:rsid w:val="27117097"/>
    <w:rsid w:val="27702138"/>
    <w:rsid w:val="27AB7DB9"/>
    <w:rsid w:val="28094EEC"/>
    <w:rsid w:val="281C3D2E"/>
    <w:rsid w:val="282D6EFC"/>
    <w:rsid w:val="28814D0A"/>
    <w:rsid w:val="28920F18"/>
    <w:rsid w:val="28A644E9"/>
    <w:rsid w:val="28CC250B"/>
    <w:rsid w:val="28D252DE"/>
    <w:rsid w:val="28F7140E"/>
    <w:rsid w:val="291C47AB"/>
    <w:rsid w:val="2A162603"/>
    <w:rsid w:val="2A213C66"/>
    <w:rsid w:val="2A482CB6"/>
    <w:rsid w:val="2A531253"/>
    <w:rsid w:val="2A5A37DD"/>
    <w:rsid w:val="2A6D7438"/>
    <w:rsid w:val="2A897A3D"/>
    <w:rsid w:val="2AF169E0"/>
    <w:rsid w:val="2B827AE3"/>
    <w:rsid w:val="2B8B496E"/>
    <w:rsid w:val="2C1A2593"/>
    <w:rsid w:val="2C1C7741"/>
    <w:rsid w:val="2C35005E"/>
    <w:rsid w:val="2C3B1B69"/>
    <w:rsid w:val="2C3F712F"/>
    <w:rsid w:val="2C417A7C"/>
    <w:rsid w:val="2C4936A5"/>
    <w:rsid w:val="2C4B5E25"/>
    <w:rsid w:val="2CB75DF2"/>
    <w:rsid w:val="2CDD2034"/>
    <w:rsid w:val="2CDD5B2F"/>
    <w:rsid w:val="2CE774CF"/>
    <w:rsid w:val="2CE8454E"/>
    <w:rsid w:val="2D0978AA"/>
    <w:rsid w:val="2D240F25"/>
    <w:rsid w:val="2D284670"/>
    <w:rsid w:val="2D672B94"/>
    <w:rsid w:val="2D917516"/>
    <w:rsid w:val="2DD35D80"/>
    <w:rsid w:val="2DF44C52"/>
    <w:rsid w:val="2E831067"/>
    <w:rsid w:val="2E864BA1"/>
    <w:rsid w:val="2E8E6636"/>
    <w:rsid w:val="2E9848D4"/>
    <w:rsid w:val="2E9D0FF0"/>
    <w:rsid w:val="2EC13E2B"/>
    <w:rsid w:val="2EF1118F"/>
    <w:rsid w:val="2F1644DE"/>
    <w:rsid w:val="2F2E08AA"/>
    <w:rsid w:val="2F3B040D"/>
    <w:rsid w:val="2F4B7B98"/>
    <w:rsid w:val="2F8E2168"/>
    <w:rsid w:val="2FB120F1"/>
    <w:rsid w:val="2FB32F59"/>
    <w:rsid w:val="2FB94916"/>
    <w:rsid w:val="2FE04785"/>
    <w:rsid w:val="30273B1E"/>
    <w:rsid w:val="30487F71"/>
    <w:rsid w:val="30650773"/>
    <w:rsid w:val="30986E0D"/>
    <w:rsid w:val="30A969B6"/>
    <w:rsid w:val="30DA7426"/>
    <w:rsid w:val="30E1593C"/>
    <w:rsid w:val="30EC44FB"/>
    <w:rsid w:val="3115045E"/>
    <w:rsid w:val="3120304E"/>
    <w:rsid w:val="31293F09"/>
    <w:rsid w:val="315A40C3"/>
    <w:rsid w:val="31660CB9"/>
    <w:rsid w:val="31885988"/>
    <w:rsid w:val="31F47A4D"/>
    <w:rsid w:val="32004C6A"/>
    <w:rsid w:val="32550E21"/>
    <w:rsid w:val="326B4B99"/>
    <w:rsid w:val="326C5A64"/>
    <w:rsid w:val="326E53FB"/>
    <w:rsid w:val="32C20171"/>
    <w:rsid w:val="32E63EA2"/>
    <w:rsid w:val="333328D1"/>
    <w:rsid w:val="334E5FB4"/>
    <w:rsid w:val="33501C21"/>
    <w:rsid w:val="335C781C"/>
    <w:rsid w:val="338B075D"/>
    <w:rsid w:val="33B43189"/>
    <w:rsid w:val="33B91D90"/>
    <w:rsid w:val="33F348CD"/>
    <w:rsid w:val="340A5530"/>
    <w:rsid w:val="34622717"/>
    <w:rsid w:val="34893069"/>
    <w:rsid w:val="34CF5F34"/>
    <w:rsid w:val="34E94DC9"/>
    <w:rsid w:val="34FC19EF"/>
    <w:rsid w:val="35696FCA"/>
    <w:rsid w:val="35770CB3"/>
    <w:rsid w:val="35D2393D"/>
    <w:rsid w:val="35F23A7A"/>
    <w:rsid w:val="36050F85"/>
    <w:rsid w:val="360F7B72"/>
    <w:rsid w:val="361B6516"/>
    <w:rsid w:val="36954E2E"/>
    <w:rsid w:val="36F666FD"/>
    <w:rsid w:val="36F736D5"/>
    <w:rsid w:val="37093C58"/>
    <w:rsid w:val="37113475"/>
    <w:rsid w:val="37122FE8"/>
    <w:rsid w:val="37236A22"/>
    <w:rsid w:val="372633C5"/>
    <w:rsid w:val="3747333B"/>
    <w:rsid w:val="37571505"/>
    <w:rsid w:val="375B6016"/>
    <w:rsid w:val="37782933"/>
    <w:rsid w:val="378600EC"/>
    <w:rsid w:val="37E008FA"/>
    <w:rsid w:val="380D00E1"/>
    <w:rsid w:val="381D2C7A"/>
    <w:rsid w:val="384B29B7"/>
    <w:rsid w:val="386558C2"/>
    <w:rsid w:val="38706BEC"/>
    <w:rsid w:val="38A8605B"/>
    <w:rsid w:val="38BB301D"/>
    <w:rsid w:val="38DB5E4E"/>
    <w:rsid w:val="38E2206B"/>
    <w:rsid w:val="38E67F6F"/>
    <w:rsid w:val="38EC628C"/>
    <w:rsid w:val="38F46F7E"/>
    <w:rsid w:val="390414E4"/>
    <w:rsid w:val="39276F80"/>
    <w:rsid w:val="39887817"/>
    <w:rsid w:val="398B181A"/>
    <w:rsid w:val="39B34CB8"/>
    <w:rsid w:val="39B762CE"/>
    <w:rsid w:val="39DB4C12"/>
    <w:rsid w:val="39DD2CF7"/>
    <w:rsid w:val="39FA48AC"/>
    <w:rsid w:val="3A3C524D"/>
    <w:rsid w:val="3A443B62"/>
    <w:rsid w:val="3A607C31"/>
    <w:rsid w:val="3A716B87"/>
    <w:rsid w:val="3A954AD2"/>
    <w:rsid w:val="3AA04A96"/>
    <w:rsid w:val="3AB85F64"/>
    <w:rsid w:val="3ACF77EE"/>
    <w:rsid w:val="3AF559DA"/>
    <w:rsid w:val="3B0B72BE"/>
    <w:rsid w:val="3B0F4A6D"/>
    <w:rsid w:val="3B7537C9"/>
    <w:rsid w:val="3B857F2C"/>
    <w:rsid w:val="3B9E037C"/>
    <w:rsid w:val="3BAE4930"/>
    <w:rsid w:val="3BC46692"/>
    <w:rsid w:val="3BCC415F"/>
    <w:rsid w:val="3C2854E9"/>
    <w:rsid w:val="3C461E13"/>
    <w:rsid w:val="3C670229"/>
    <w:rsid w:val="3D686F48"/>
    <w:rsid w:val="3DB37034"/>
    <w:rsid w:val="3E1B29D5"/>
    <w:rsid w:val="3E1F7214"/>
    <w:rsid w:val="3E2B73BD"/>
    <w:rsid w:val="3E690684"/>
    <w:rsid w:val="3F10051E"/>
    <w:rsid w:val="3F1258BD"/>
    <w:rsid w:val="3F1E2BD3"/>
    <w:rsid w:val="3F224C57"/>
    <w:rsid w:val="3F7D3D9E"/>
    <w:rsid w:val="3F890EDF"/>
    <w:rsid w:val="3FB709D7"/>
    <w:rsid w:val="3FBA6941"/>
    <w:rsid w:val="3FBB147D"/>
    <w:rsid w:val="3FD9743E"/>
    <w:rsid w:val="40316936"/>
    <w:rsid w:val="405047C4"/>
    <w:rsid w:val="40844A60"/>
    <w:rsid w:val="40972C3D"/>
    <w:rsid w:val="40AD2587"/>
    <w:rsid w:val="40FE4A6B"/>
    <w:rsid w:val="41065D1D"/>
    <w:rsid w:val="411D05B7"/>
    <w:rsid w:val="41506F85"/>
    <w:rsid w:val="41571172"/>
    <w:rsid w:val="419E366D"/>
    <w:rsid w:val="41B75ADD"/>
    <w:rsid w:val="41FE1FF7"/>
    <w:rsid w:val="42073DF3"/>
    <w:rsid w:val="42133790"/>
    <w:rsid w:val="42227AF1"/>
    <w:rsid w:val="423F6073"/>
    <w:rsid w:val="42BD1229"/>
    <w:rsid w:val="42CB4E20"/>
    <w:rsid w:val="42E40D59"/>
    <w:rsid w:val="430D3A72"/>
    <w:rsid w:val="4317489C"/>
    <w:rsid w:val="432079ED"/>
    <w:rsid w:val="43307470"/>
    <w:rsid w:val="433F4E95"/>
    <w:rsid w:val="43885BFF"/>
    <w:rsid w:val="43AB0E33"/>
    <w:rsid w:val="43E6017C"/>
    <w:rsid w:val="43F87E97"/>
    <w:rsid w:val="4474782E"/>
    <w:rsid w:val="44B0780B"/>
    <w:rsid w:val="44B244EA"/>
    <w:rsid w:val="44E0053D"/>
    <w:rsid w:val="44F1047F"/>
    <w:rsid w:val="44F77C59"/>
    <w:rsid w:val="44FA618E"/>
    <w:rsid w:val="451A1A5E"/>
    <w:rsid w:val="451A72D2"/>
    <w:rsid w:val="456F4704"/>
    <w:rsid w:val="457572C5"/>
    <w:rsid w:val="457E43CC"/>
    <w:rsid w:val="458319E2"/>
    <w:rsid w:val="458D0AB3"/>
    <w:rsid w:val="45926914"/>
    <w:rsid w:val="45A51959"/>
    <w:rsid w:val="45C00E7A"/>
    <w:rsid w:val="45CD7101"/>
    <w:rsid w:val="45F41352"/>
    <w:rsid w:val="45F44265"/>
    <w:rsid w:val="46387A28"/>
    <w:rsid w:val="46480E23"/>
    <w:rsid w:val="466143BC"/>
    <w:rsid w:val="46AE5538"/>
    <w:rsid w:val="46F030A7"/>
    <w:rsid w:val="47022DDB"/>
    <w:rsid w:val="471104BE"/>
    <w:rsid w:val="4766336A"/>
    <w:rsid w:val="47787A34"/>
    <w:rsid w:val="47BC6882"/>
    <w:rsid w:val="47C16178"/>
    <w:rsid w:val="47C20E9F"/>
    <w:rsid w:val="47D879EE"/>
    <w:rsid w:val="47F50063"/>
    <w:rsid w:val="480908C5"/>
    <w:rsid w:val="481A0A98"/>
    <w:rsid w:val="483E2513"/>
    <w:rsid w:val="48566CF1"/>
    <w:rsid w:val="486A0C38"/>
    <w:rsid w:val="48A71E8C"/>
    <w:rsid w:val="48B773BE"/>
    <w:rsid w:val="48C4582A"/>
    <w:rsid w:val="48F25A08"/>
    <w:rsid w:val="494F4275"/>
    <w:rsid w:val="4958407D"/>
    <w:rsid w:val="49685155"/>
    <w:rsid w:val="496B4C67"/>
    <w:rsid w:val="49773A63"/>
    <w:rsid w:val="49776B77"/>
    <w:rsid w:val="498B70B7"/>
    <w:rsid w:val="49C600F0"/>
    <w:rsid w:val="49D63C14"/>
    <w:rsid w:val="4A2B014A"/>
    <w:rsid w:val="4A581496"/>
    <w:rsid w:val="4AAD52DF"/>
    <w:rsid w:val="4AB34B18"/>
    <w:rsid w:val="4B215C72"/>
    <w:rsid w:val="4B267339"/>
    <w:rsid w:val="4B2B5C95"/>
    <w:rsid w:val="4B3D2633"/>
    <w:rsid w:val="4B4B4D50"/>
    <w:rsid w:val="4B6620E8"/>
    <w:rsid w:val="4B836D01"/>
    <w:rsid w:val="4BEB02E1"/>
    <w:rsid w:val="4BEB211D"/>
    <w:rsid w:val="4C382F17"/>
    <w:rsid w:val="4C651C1F"/>
    <w:rsid w:val="4C680082"/>
    <w:rsid w:val="4CAE2924"/>
    <w:rsid w:val="4CBE4BD8"/>
    <w:rsid w:val="4CD3567B"/>
    <w:rsid w:val="4CD402C2"/>
    <w:rsid w:val="4CD81AB9"/>
    <w:rsid w:val="4CEF5BAF"/>
    <w:rsid w:val="4D754306"/>
    <w:rsid w:val="4D9F113E"/>
    <w:rsid w:val="4DB56EF3"/>
    <w:rsid w:val="4DC95567"/>
    <w:rsid w:val="4DF74D1B"/>
    <w:rsid w:val="4E6C38E5"/>
    <w:rsid w:val="4EA737B5"/>
    <w:rsid w:val="4ECB7815"/>
    <w:rsid w:val="4EE57692"/>
    <w:rsid w:val="4F0D22AD"/>
    <w:rsid w:val="4F1D09B9"/>
    <w:rsid w:val="4F5C611C"/>
    <w:rsid w:val="4FEF73F8"/>
    <w:rsid w:val="500A14F8"/>
    <w:rsid w:val="504D7564"/>
    <w:rsid w:val="506A2C4D"/>
    <w:rsid w:val="5074340D"/>
    <w:rsid w:val="50EC35CF"/>
    <w:rsid w:val="50F67C13"/>
    <w:rsid w:val="5109449A"/>
    <w:rsid w:val="517170BC"/>
    <w:rsid w:val="5185206F"/>
    <w:rsid w:val="51B83AD7"/>
    <w:rsid w:val="51BA7D66"/>
    <w:rsid w:val="51C520EA"/>
    <w:rsid w:val="51CA12EB"/>
    <w:rsid w:val="51E360FA"/>
    <w:rsid w:val="5207226E"/>
    <w:rsid w:val="523A5B1F"/>
    <w:rsid w:val="5263442C"/>
    <w:rsid w:val="52713FC8"/>
    <w:rsid w:val="52DF7513"/>
    <w:rsid w:val="52FE6B4C"/>
    <w:rsid w:val="531E2D4A"/>
    <w:rsid w:val="53426F62"/>
    <w:rsid w:val="535E520B"/>
    <w:rsid w:val="539F6A55"/>
    <w:rsid w:val="540E7263"/>
    <w:rsid w:val="54370965"/>
    <w:rsid w:val="54A3500F"/>
    <w:rsid w:val="54C6369A"/>
    <w:rsid w:val="54E029AD"/>
    <w:rsid w:val="54FA3C3B"/>
    <w:rsid w:val="55184BE5"/>
    <w:rsid w:val="553B6725"/>
    <w:rsid w:val="559D264C"/>
    <w:rsid w:val="55B017CF"/>
    <w:rsid w:val="55B81234"/>
    <w:rsid w:val="55C338CA"/>
    <w:rsid w:val="55D446E7"/>
    <w:rsid w:val="55EF09CE"/>
    <w:rsid w:val="56034338"/>
    <w:rsid w:val="560D4C3D"/>
    <w:rsid w:val="566238F6"/>
    <w:rsid w:val="56646FFE"/>
    <w:rsid w:val="56852717"/>
    <w:rsid w:val="569D33D7"/>
    <w:rsid w:val="56A47A0A"/>
    <w:rsid w:val="56C32E5D"/>
    <w:rsid w:val="56DB46F3"/>
    <w:rsid w:val="57BD2A59"/>
    <w:rsid w:val="57F34222"/>
    <w:rsid w:val="58404FE4"/>
    <w:rsid w:val="5855720E"/>
    <w:rsid w:val="594E29FC"/>
    <w:rsid w:val="598F6750"/>
    <w:rsid w:val="5A761768"/>
    <w:rsid w:val="5A8C160E"/>
    <w:rsid w:val="5ACE0213"/>
    <w:rsid w:val="5AD461F7"/>
    <w:rsid w:val="5B2F6DB0"/>
    <w:rsid w:val="5B5045E9"/>
    <w:rsid w:val="5B552EC5"/>
    <w:rsid w:val="5B7A4125"/>
    <w:rsid w:val="5C283DD7"/>
    <w:rsid w:val="5C712CEA"/>
    <w:rsid w:val="5C8466DF"/>
    <w:rsid w:val="5CAE3391"/>
    <w:rsid w:val="5CD01D3B"/>
    <w:rsid w:val="5CD42818"/>
    <w:rsid w:val="5CD96ED2"/>
    <w:rsid w:val="5CDD0BBF"/>
    <w:rsid w:val="5CE62B2B"/>
    <w:rsid w:val="5CF51F99"/>
    <w:rsid w:val="5D0B33E8"/>
    <w:rsid w:val="5D261179"/>
    <w:rsid w:val="5D3302C2"/>
    <w:rsid w:val="5D370222"/>
    <w:rsid w:val="5D5B399E"/>
    <w:rsid w:val="5D99194B"/>
    <w:rsid w:val="5DAB05EC"/>
    <w:rsid w:val="5DBD6A6E"/>
    <w:rsid w:val="5DC0586F"/>
    <w:rsid w:val="5DDC64C9"/>
    <w:rsid w:val="5DEF2ABB"/>
    <w:rsid w:val="5DFE3EA4"/>
    <w:rsid w:val="5E2E29DB"/>
    <w:rsid w:val="5E3D3DD8"/>
    <w:rsid w:val="5E431B60"/>
    <w:rsid w:val="5E5C65A1"/>
    <w:rsid w:val="5E930A90"/>
    <w:rsid w:val="5EBB2DC3"/>
    <w:rsid w:val="5EEB4428"/>
    <w:rsid w:val="5F1917F3"/>
    <w:rsid w:val="5F36567E"/>
    <w:rsid w:val="5F4517FB"/>
    <w:rsid w:val="5F7251CD"/>
    <w:rsid w:val="5F8C2351"/>
    <w:rsid w:val="5F9271EC"/>
    <w:rsid w:val="5F9932EF"/>
    <w:rsid w:val="5FFC4413"/>
    <w:rsid w:val="602040DA"/>
    <w:rsid w:val="60254680"/>
    <w:rsid w:val="605D3104"/>
    <w:rsid w:val="607E5E40"/>
    <w:rsid w:val="60FB7B42"/>
    <w:rsid w:val="61026608"/>
    <w:rsid w:val="61577891"/>
    <w:rsid w:val="61627B6F"/>
    <w:rsid w:val="61646714"/>
    <w:rsid w:val="6165040E"/>
    <w:rsid w:val="6198016C"/>
    <w:rsid w:val="61C805F8"/>
    <w:rsid w:val="61D03DA9"/>
    <w:rsid w:val="61D476D6"/>
    <w:rsid w:val="61E96C41"/>
    <w:rsid w:val="6252633E"/>
    <w:rsid w:val="62B92A90"/>
    <w:rsid w:val="62CC4589"/>
    <w:rsid w:val="63166DD3"/>
    <w:rsid w:val="63394FF2"/>
    <w:rsid w:val="63887929"/>
    <w:rsid w:val="63D54D53"/>
    <w:rsid w:val="63F57AF7"/>
    <w:rsid w:val="64180F4D"/>
    <w:rsid w:val="64202A8D"/>
    <w:rsid w:val="646859BE"/>
    <w:rsid w:val="648272C3"/>
    <w:rsid w:val="649D351D"/>
    <w:rsid w:val="64F66F11"/>
    <w:rsid w:val="6564418A"/>
    <w:rsid w:val="65650BEB"/>
    <w:rsid w:val="65C3595C"/>
    <w:rsid w:val="65C94BB0"/>
    <w:rsid w:val="65EA5EDE"/>
    <w:rsid w:val="660E2D48"/>
    <w:rsid w:val="66115A83"/>
    <w:rsid w:val="661A1AC1"/>
    <w:rsid w:val="662048CE"/>
    <w:rsid w:val="663042FB"/>
    <w:rsid w:val="663528CC"/>
    <w:rsid w:val="66F05398"/>
    <w:rsid w:val="66FF4D4E"/>
    <w:rsid w:val="670F52BB"/>
    <w:rsid w:val="675D3D32"/>
    <w:rsid w:val="6760172C"/>
    <w:rsid w:val="67CE57EE"/>
    <w:rsid w:val="67F20472"/>
    <w:rsid w:val="684B54D0"/>
    <w:rsid w:val="68610803"/>
    <w:rsid w:val="68885861"/>
    <w:rsid w:val="68CD337D"/>
    <w:rsid w:val="68EC771B"/>
    <w:rsid w:val="68FD3E23"/>
    <w:rsid w:val="690B75DC"/>
    <w:rsid w:val="69193CD7"/>
    <w:rsid w:val="69625E96"/>
    <w:rsid w:val="6965484C"/>
    <w:rsid w:val="696C23CE"/>
    <w:rsid w:val="696E5C32"/>
    <w:rsid w:val="69744B9B"/>
    <w:rsid w:val="69935D56"/>
    <w:rsid w:val="69A4724A"/>
    <w:rsid w:val="6A413A96"/>
    <w:rsid w:val="6A733B62"/>
    <w:rsid w:val="6AEB3C19"/>
    <w:rsid w:val="6B2922E0"/>
    <w:rsid w:val="6BCA186A"/>
    <w:rsid w:val="6BCC7390"/>
    <w:rsid w:val="6BCD419B"/>
    <w:rsid w:val="6C046B2A"/>
    <w:rsid w:val="6C1F5794"/>
    <w:rsid w:val="6C3848AE"/>
    <w:rsid w:val="6C5E2742"/>
    <w:rsid w:val="6C84700F"/>
    <w:rsid w:val="6C8D36CE"/>
    <w:rsid w:val="6C904861"/>
    <w:rsid w:val="6CBE13CE"/>
    <w:rsid w:val="6CDE737B"/>
    <w:rsid w:val="6D804A48"/>
    <w:rsid w:val="6D97276A"/>
    <w:rsid w:val="6DAB3E73"/>
    <w:rsid w:val="6DD60264"/>
    <w:rsid w:val="6DF835FD"/>
    <w:rsid w:val="6E460EFB"/>
    <w:rsid w:val="6E496DC5"/>
    <w:rsid w:val="6E6B2E90"/>
    <w:rsid w:val="6E8757F0"/>
    <w:rsid w:val="6EB56801"/>
    <w:rsid w:val="6ECA1931"/>
    <w:rsid w:val="6EEF21CA"/>
    <w:rsid w:val="6F060E0B"/>
    <w:rsid w:val="6F444467"/>
    <w:rsid w:val="6F635993"/>
    <w:rsid w:val="6F7D2527"/>
    <w:rsid w:val="6F99391D"/>
    <w:rsid w:val="702E6433"/>
    <w:rsid w:val="70681BB1"/>
    <w:rsid w:val="70B30FF5"/>
    <w:rsid w:val="70C57924"/>
    <w:rsid w:val="70F36588"/>
    <w:rsid w:val="70F93405"/>
    <w:rsid w:val="7147307A"/>
    <w:rsid w:val="719248F8"/>
    <w:rsid w:val="71A156E5"/>
    <w:rsid w:val="71ED62B2"/>
    <w:rsid w:val="720E3CB8"/>
    <w:rsid w:val="72230DF1"/>
    <w:rsid w:val="72413E65"/>
    <w:rsid w:val="7241725D"/>
    <w:rsid w:val="7249798C"/>
    <w:rsid w:val="725F0CB0"/>
    <w:rsid w:val="72D05C7D"/>
    <w:rsid w:val="72F45FB6"/>
    <w:rsid w:val="73041B05"/>
    <w:rsid w:val="735B08ED"/>
    <w:rsid w:val="737E356F"/>
    <w:rsid w:val="73BD156A"/>
    <w:rsid w:val="73CB2BF1"/>
    <w:rsid w:val="73D929EC"/>
    <w:rsid w:val="73E7124C"/>
    <w:rsid w:val="73EA66A8"/>
    <w:rsid w:val="7411685E"/>
    <w:rsid w:val="74145075"/>
    <w:rsid w:val="74552D90"/>
    <w:rsid w:val="745D327B"/>
    <w:rsid w:val="74956EB9"/>
    <w:rsid w:val="74BE59C8"/>
    <w:rsid w:val="74D846AC"/>
    <w:rsid w:val="74DB3941"/>
    <w:rsid w:val="74F02341"/>
    <w:rsid w:val="751648DB"/>
    <w:rsid w:val="75375BDF"/>
    <w:rsid w:val="75BB792E"/>
    <w:rsid w:val="75DD24BF"/>
    <w:rsid w:val="75F573FC"/>
    <w:rsid w:val="76276FCD"/>
    <w:rsid w:val="76D336FD"/>
    <w:rsid w:val="770216E1"/>
    <w:rsid w:val="770B16B4"/>
    <w:rsid w:val="775C7254"/>
    <w:rsid w:val="77702823"/>
    <w:rsid w:val="77A709F2"/>
    <w:rsid w:val="787212BF"/>
    <w:rsid w:val="787E3C56"/>
    <w:rsid w:val="78B432EB"/>
    <w:rsid w:val="78D23D6D"/>
    <w:rsid w:val="78F925F1"/>
    <w:rsid w:val="792E13D2"/>
    <w:rsid w:val="7940316B"/>
    <w:rsid w:val="79415429"/>
    <w:rsid w:val="7989477E"/>
    <w:rsid w:val="799A0ACD"/>
    <w:rsid w:val="79B6386A"/>
    <w:rsid w:val="79D7587D"/>
    <w:rsid w:val="7A337D6C"/>
    <w:rsid w:val="7A4E495F"/>
    <w:rsid w:val="7A59162D"/>
    <w:rsid w:val="7AA222CF"/>
    <w:rsid w:val="7AB07866"/>
    <w:rsid w:val="7ACF38BF"/>
    <w:rsid w:val="7B095F0A"/>
    <w:rsid w:val="7B234AF2"/>
    <w:rsid w:val="7B303B2C"/>
    <w:rsid w:val="7B383425"/>
    <w:rsid w:val="7B536F3F"/>
    <w:rsid w:val="7B8621A9"/>
    <w:rsid w:val="7B8A0C27"/>
    <w:rsid w:val="7B9D775C"/>
    <w:rsid w:val="7BB37C24"/>
    <w:rsid w:val="7BC978AC"/>
    <w:rsid w:val="7BF216CF"/>
    <w:rsid w:val="7C044924"/>
    <w:rsid w:val="7C4E5B9F"/>
    <w:rsid w:val="7C5A2796"/>
    <w:rsid w:val="7CA27EDB"/>
    <w:rsid w:val="7CB1469F"/>
    <w:rsid w:val="7CB6160D"/>
    <w:rsid w:val="7CC406CE"/>
    <w:rsid w:val="7CC46F35"/>
    <w:rsid w:val="7CC979A2"/>
    <w:rsid w:val="7CE87DA1"/>
    <w:rsid w:val="7D04554E"/>
    <w:rsid w:val="7D344318"/>
    <w:rsid w:val="7D733B0F"/>
    <w:rsid w:val="7D763CAC"/>
    <w:rsid w:val="7D8C2B28"/>
    <w:rsid w:val="7DC32327"/>
    <w:rsid w:val="7DC725E6"/>
    <w:rsid w:val="7DF572AC"/>
    <w:rsid w:val="7E1439F0"/>
    <w:rsid w:val="7E17093E"/>
    <w:rsid w:val="7E3D36B7"/>
    <w:rsid w:val="7E7C3B28"/>
    <w:rsid w:val="7E835571"/>
    <w:rsid w:val="7EA91411"/>
    <w:rsid w:val="7EBC7738"/>
    <w:rsid w:val="7EDC3A6C"/>
    <w:rsid w:val="7EDE60C6"/>
    <w:rsid w:val="7EDF4308"/>
    <w:rsid w:val="7F0B56D4"/>
    <w:rsid w:val="7FCB4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jc w:val="center"/>
      <w:outlineLvl w:val="0"/>
    </w:pPr>
    <w:rPr>
      <w:rFonts w:eastAsia="微软雅黑"/>
      <w:b/>
      <w:kern w:val="44"/>
      <w:sz w:val="36"/>
    </w:rPr>
  </w:style>
  <w:style w:type="paragraph" w:styleId="3">
    <w:name w:val="heading 2"/>
    <w:basedOn w:val="1"/>
    <w:next w:val="1"/>
    <w:link w:val="40"/>
    <w:unhideWhenUsed/>
    <w:qFormat/>
    <w:uiPriority w:val="0"/>
    <w:pPr>
      <w:keepNext/>
      <w:keepLines/>
      <w:spacing w:before="260" w:after="260" w:line="413" w:lineRule="auto"/>
      <w:outlineLvl w:val="1"/>
    </w:pPr>
    <w:rPr>
      <w:rFonts w:ascii="Arial" w:hAnsi="Arial" w:eastAsia="微软雅黑"/>
      <w:b/>
      <w:color w:val="376092" w:themeColor="accent1" w:themeShade="BF"/>
      <w:sz w:val="28"/>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paragraph" w:styleId="7">
    <w:name w:val="heading 6"/>
    <w:basedOn w:val="1"/>
    <w:next w:val="1"/>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next w:val="1"/>
    <w:unhideWhenUsed/>
    <w:qFormat/>
    <w:uiPriority w:val="9"/>
    <w:pPr>
      <w:keepNext/>
      <w:keepLines/>
      <w:spacing w:before="240" w:after="64" w:line="317" w:lineRule="auto"/>
      <w:outlineLvl w:val="6"/>
    </w:pPr>
    <w:rPr>
      <w:b/>
      <w:sz w:val="24"/>
    </w:rPr>
  </w:style>
  <w:style w:type="paragraph" w:styleId="9">
    <w:name w:val="heading 8"/>
    <w:basedOn w:val="1"/>
    <w:next w:val="1"/>
    <w:unhideWhenUsed/>
    <w:qFormat/>
    <w:uiPriority w:val="9"/>
    <w:pPr>
      <w:keepNext/>
      <w:keepLines/>
      <w:spacing w:before="240" w:after="64" w:line="317" w:lineRule="auto"/>
      <w:outlineLvl w:val="7"/>
    </w:pPr>
    <w:rPr>
      <w:rFonts w:ascii="Arial" w:hAnsi="Arial" w:eastAsia="黑体"/>
      <w:sz w:val="24"/>
    </w:rPr>
  </w:style>
  <w:style w:type="paragraph" w:styleId="10">
    <w:name w:val="heading 9"/>
    <w:basedOn w:val="1"/>
    <w:next w:val="1"/>
    <w:unhideWhenUsed/>
    <w:qFormat/>
    <w:uiPriority w:val="9"/>
    <w:pPr>
      <w:keepNext/>
      <w:keepLines/>
      <w:spacing w:before="240" w:after="64" w:line="317" w:lineRule="auto"/>
      <w:outlineLvl w:val="8"/>
    </w:pPr>
    <w:rPr>
      <w:rFonts w:ascii="Arial" w:hAnsi="Arial" w:eastAsia="黑体"/>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toc 3"/>
    <w:basedOn w:val="1"/>
    <w:next w:val="1"/>
    <w:semiHidden/>
    <w:unhideWhenUsed/>
    <w:qFormat/>
    <w:uiPriority w:val="39"/>
    <w:pPr>
      <w:ind w:left="840" w:leftChars="400"/>
    </w:pPr>
  </w:style>
  <w:style w:type="paragraph" w:styleId="12">
    <w:name w:val="Plain Text"/>
    <w:basedOn w:val="1"/>
    <w:qFormat/>
    <w:uiPriority w:val="0"/>
    <w:rPr>
      <w:rFonts w:ascii="宋体" w:hAnsi="Courier New" w:cs="Courier New"/>
      <w:szCs w:val="21"/>
    </w:rPr>
  </w:style>
  <w:style w:type="paragraph" w:styleId="13">
    <w:name w:val="Balloon Text"/>
    <w:basedOn w:val="1"/>
    <w:link w:val="26"/>
    <w:semiHidden/>
    <w:unhideWhenUsed/>
    <w:qFormat/>
    <w:uiPriority w:val="99"/>
    <w:rPr>
      <w:sz w:val="18"/>
      <w:szCs w:val="18"/>
    </w:rPr>
  </w:style>
  <w:style w:type="paragraph" w:styleId="14">
    <w:name w:val="footer"/>
    <w:basedOn w:val="1"/>
    <w:link w:val="25"/>
    <w:unhideWhenUsed/>
    <w:qFormat/>
    <w:uiPriority w:val="99"/>
    <w:pPr>
      <w:tabs>
        <w:tab w:val="center" w:pos="4153"/>
        <w:tab w:val="right" w:pos="8306"/>
      </w:tabs>
      <w:snapToGrid w:val="0"/>
      <w:jc w:val="left"/>
    </w:pPr>
    <w:rPr>
      <w:sz w:val="18"/>
      <w:szCs w:val="18"/>
    </w:rPr>
  </w:style>
  <w:style w:type="paragraph" w:styleId="15">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unhideWhenUsed/>
    <w:qFormat/>
    <w:uiPriority w:val="39"/>
  </w:style>
  <w:style w:type="paragraph" w:styleId="17">
    <w:name w:val="toc 2"/>
    <w:basedOn w:val="1"/>
    <w:next w:val="1"/>
    <w:semiHidden/>
    <w:unhideWhenUsed/>
    <w:qFormat/>
    <w:uiPriority w:val="39"/>
    <w:pPr>
      <w:ind w:left="420" w:leftChars="200"/>
    </w:pPr>
  </w:style>
  <w:style w:type="paragraph" w:styleId="18">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Hyperlink"/>
    <w:basedOn w:val="21"/>
    <w:semiHidden/>
    <w:unhideWhenUsed/>
    <w:qFormat/>
    <w:uiPriority w:val="99"/>
    <w:rPr>
      <w:color w:val="0000FF"/>
      <w:u w:val="single"/>
    </w:rPr>
  </w:style>
  <w:style w:type="character" w:customStyle="1" w:styleId="24">
    <w:name w:val="页眉 字符"/>
    <w:basedOn w:val="21"/>
    <w:link w:val="15"/>
    <w:qFormat/>
    <w:uiPriority w:val="99"/>
    <w:rPr>
      <w:sz w:val="18"/>
      <w:szCs w:val="18"/>
    </w:rPr>
  </w:style>
  <w:style w:type="character" w:customStyle="1" w:styleId="25">
    <w:name w:val="页脚 字符"/>
    <w:basedOn w:val="21"/>
    <w:link w:val="14"/>
    <w:qFormat/>
    <w:uiPriority w:val="99"/>
    <w:rPr>
      <w:sz w:val="18"/>
      <w:szCs w:val="18"/>
    </w:rPr>
  </w:style>
  <w:style w:type="character" w:customStyle="1" w:styleId="26">
    <w:name w:val="批注框文本 字符"/>
    <w:basedOn w:val="21"/>
    <w:link w:val="13"/>
    <w:semiHidden/>
    <w:qFormat/>
    <w:uiPriority w:val="99"/>
    <w:rPr>
      <w:sz w:val="18"/>
      <w:szCs w:val="18"/>
    </w:rPr>
  </w:style>
  <w:style w:type="paragraph" w:customStyle="1" w:styleId="27">
    <w:name w:val="Normal_6_22"/>
    <w:qFormat/>
    <w:uiPriority w:val="99"/>
    <w:pPr>
      <w:widowControl w:val="0"/>
      <w:jc w:val="both"/>
    </w:pPr>
    <w:rPr>
      <w:rFonts w:ascii="Calibri" w:hAnsi="Calibri" w:eastAsia="宋体" w:cs="Times New Roman"/>
      <w:kern w:val="2"/>
      <w:sz w:val="21"/>
      <w:szCs w:val="22"/>
      <w:lang w:val="en-US" w:eastAsia="en-US" w:bidi="ar-SA"/>
    </w:rPr>
  </w:style>
  <w:style w:type="paragraph" w:customStyle="1" w:styleId="28">
    <w:name w:val="WPSOffice手动目录 1"/>
    <w:qFormat/>
    <w:uiPriority w:val="0"/>
    <w:rPr>
      <w:rFonts w:ascii="Times New Roman" w:hAnsi="Times New Roman" w:eastAsia="宋体" w:cs="Times New Roman"/>
      <w:lang w:val="en-US" w:eastAsia="en-US" w:bidi="ar-SA"/>
    </w:rPr>
  </w:style>
  <w:style w:type="paragraph" w:customStyle="1" w:styleId="29">
    <w:name w:val="WPSOffice手动目录 2"/>
    <w:qFormat/>
    <w:uiPriority w:val="0"/>
    <w:pPr>
      <w:ind w:left="200" w:leftChars="200"/>
    </w:pPr>
    <w:rPr>
      <w:rFonts w:ascii="Times New Roman" w:hAnsi="Times New Roman" w:eastAsia="宋体" w:cs="Times New Roman"/>
      <w:lang w:val="en-US" w:eastAsia="en-US" w:bidi="ar-SA"/>
    </w:rPr>
  </w:style>
  <w:style w:type="paragraph" w:styleId="30">
    <w:name w:val="List Paragraph"/>
    <w:basedOn w:val="1"/>
    <w:qFormat/>
    <w:uiPriority w:val="34"/>
    <w:pPr>
      <w:ind w:firstLine="420" w:firstLineChars="200"/>
    </w:pPr>
  </w:style>
  <w:style w:type="paragraph" w:customStyle="1" w:styleId="31">
    <w:name w:val="【知识导航】——内容"/>
    <w:basedOn w:val="1"/>
    <w:qFormat/>
    <w:uiPriority w:val="0"/>
    <w:pPr>
      <w:widowControl/>
      <w:snapToGrid w:val="0"/>
      <w:spacing w:line="312" w:lineRule="atLeast"/>
      <w:ind w:firstLine="200" w:firstLineChars="200"/>
    </w:pPr>
    <w:rPr>
      <w:rFonts w:ascii="Times New Roman" w:hAnsi="Times New Roman" w:eastAsia="楷体_GB2312" w:cs="Times New Roman"/>
      <w:szCs w:val="24"/>
    </w:rPr>
  </w:style>
  <w:style w:type="character" w:customStyle="1" w:styleId="32">
    <w:name w:val="font11"/>
    <w:basedOn w:val="21"/>
    <w:qFormat/>
    <w:uiPriority w:val="0"/>
    <w:rPr>
      <w:rFonts w:ascii="宋体" w:hAnsi="宋体" w:eastAsia="宋体" w:cs="宋体"/>
      <w:color w:val="000000"/>
      <w:sz w:val="28"/>
      <w:szCs w:val="28"/>
      <w:u w:val="none"/>
    </w:rPr>
  </w:style>
  <w:style w:type="character" w:customStyle="1" w:styleId="33">
    <w:name w:val="font21"/>
    <w:basedOn w:val="21"/>
    <w:qFormat/>
    <w:uiPriority w:val="0"/>
    <w:rPr>
      <w:rFonts w:hint="eastAsia" w:ascii="宋体" w:hAnsi="宋体" w:eastAsia="宋体" w:cs="宋体"/>
      <w:color w:val="000000"/>
      <w:sz w:val="22"/>
      <w:szCs w:val="22"/>
      <w:u w:val="none"/>
    </w:rPr>
  </w:style>
  <w:style w:type="character" w:customStyle="1" w:styleId="34">
    <w:name w:val="font01"/>
    <w:basedOn w:val="21"/>
    <w:qFormat/>
    <w:uiPriority w:val="0"/>
    <w:rPr>
      <w:rFonts w:hint="default" w:ascii="Arial" w:hAnsi="Arial" w:cs="Arial"/>
      <w:color w:val="000000"/>
      <w:sz w:val="22"/>
      <w:szCs w:val="22"/>
      <w:u w:val="none"/>
    </w:rPr>
  </w:style>
  <w:style w:type="character" w:customStyle="1" w:styleId="35">
    <w:name w:val="font31"/>
    <w:basedOn w:val="21"/>
    <w:qFormat/>
    <w:uiPriority w:val="0"/>
    <w:rPr>
      <w:rFonts w:ascii="宋体" w:hAnsi="宋体" w:eastAsia="宋体" w:cs="宋体"/>
      <w:color w:val="000000"/>
      <w:sz w:val="22"/>
      <w:szCs w:val="22"/>
      <w:u w:val="none"/>
    </w:rPr>
  </w:style>
  <w:style w:type="character" w:customStyle="1" w:styleId="36">
    <w:name w:val="font41"/>
    <w:basedOn w:val="21"/>
    <w:qFormat/>
    <w:uiPriority w:val="0"/>
    <w:rPr>
      <w:rFonts w:hint="default" w:ascii="Arial" w:hAnsi="Arial" w:cs="Arial"/>
      <w:color w:val="000000"/>
      <w:sz w:val="12"/>
      <w:szCs w:val="12"/>
      <w:u w:val="none"/>
    </w:rPr>
  </w:style>
  <w:style w:type="character" w:customStyle="1" w:styleId="37">
    <w:name w:val="font51"/>
    <w:basedOn w:val="21"/>
    <w:qFormat/>
    <w:uiPriority w:val="0"/>
    <w:rPr>
      <w:rFonts w:ascii="宋体" w:hAnsi="宋体" w:eastAsia="宋体" w:cs="宋体"/>
      <w:color w:val="000000"/>
      <w:sz w:val="10"/>
      <w:szCs w:val="10"/>
      <w:u w:val="none"/>
    </w:rPr>
  </w:style>
  <w:style w:type="character" w:customStyle="1" w:styleId="38">
    <w:name w:val="font61"/>
    <w:basedOn w:val="21"/>
    <w:qFormat/>
    <w:uiPriority w:val="0"/>
    <w:rPr>
      <w:rFonts w:hint="default" w:ascii="Arial" w:hAnsi="Arial" w:cs="Arial"/>
      <w:color w:val="000000"/>
      <w:sz w:val="13"/>
      <w:szCs w:val="13"/>
      <w:u w:val="none"/>
    </w:rPr>
  </w:style>
  <w:style w:type="character" w:customStyle="1" w:styleId="39">
    <w:name w:val="font71"/>
    <w:basedOn w:val="21"/>
    <w:qFormat/>
    <w:uiPriority w:val="0"/>
    <w:rPr>
      <w:rFonts w:hint="default" w:ascii="Arial" w:hAnsi="Arial" w:cs="Arial"/>
      <w:color w:val="000000"/>
      <w:sz w:val="22"/>
      <w:szCs w:val="22"/>
      <w:u w:val="none"/>
    </w:rPr>
  </w:style>
  <w:style w:type="character" w:customStyle="1" w:styleId="40">
    <w:name w:val="标题 2 字符"/>
    <w:link w:val="3"/>
    <w:qFormat/>
    <w:uiPriority w:val="0"/>
    <w:rPr>
      <w:rFonts w:ascii="Arial" w:hAnsi="Arial" w:eastAsia="微软雅黑"/>
      <w:b/>
      <w:color w:val="376092" w:themeColor="accent1" w:themeShade="BF"/>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jpe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10688</Words>
  <Characters>11082</Characters>
  <Lines>148</Lines>
  <Paragraphs>41</Paragraphs>
  <TotalTime>0</TotalTime>
  <ScaleCrop>false</ScaleCrop>
  <LinksUpToDate>false</LinksUpToDate>
  <CharactersWithSpaces>11296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2020-02-29T09:17:00Z</dcterms:created>
  <dc:description>原创精品资源学科网独家享有版权，侵权必究！</dc:description>
  <dcterms:modified xsi:type="dcterms:W3CDTF">2026-01-21T07:50:24Z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eyJoZGlkIjoiZDMzZDMxNDM2Y2I1ZjM1YzA4NDhiMjAzMWNiNmY1ZjUiLCJ1c2VySWQiOiIyNzgwOTYxODEifQ==</vt:lpwstr>
  </property>
  <property fmtid="{D5CDD505-2E9C-101B-9397-08002B2CF9AE}" pid="7" name="KSOProductBuildVer">
    <vt:lpwstr>2052-12.1.0.24657</vt:lpwstr>
  </property>
  <property fmtid="{D5CDD505-2E9C-101B-9397-08002B2CF9AE}" pid="8" name="ICV">
    <vt:lpwstr>176461C436A24A58B96AB7625F355271_12</vt:lpwstr>
  </property>
</Properties>
</file>