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B1087">
      <w:pPr>
        <w:widowControl/>
        <w:spacing w:line="360" w:lineRule="auto"/>
        <w:ind w:left="315"/>
        <w:jc w:val="center"/>
        <w:textAlignment w:val="center"/>
        <w:rPr>
          <w:rFonts w:hint="eastAsia" w:eastAsia="黑体"/>
          <w:sz w:val="36"/>
          <w:szCs w:val="36"/>
        </w:rPr>
      </w:pPr>
      <w:bookmarkStart w:id="0" w:name="_GoBack"/>
      <w:bookmarkEnd w:id="0"/>
      <w:r>
        <w:rPr>
          <w:rFonts w:eastAsia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10668000</wp:posOffset>
            </wp:positionH>
            <wp:positionV relativeFrom="topMargin">
              <wp:posOffset>11772900</wp:posOffset>
            </wp:positionV>
            <wp:extent cx="292100" cy="317500"/>
            <wp:effectExtent l="0" t="0" r="12700" b="635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sz w:val="36"/>
          <w:szCs w:val="36"/>
        </w:rPr>
        <w:t>202</w:t>
      </w:r>
      <w:r>
        <w:rPr>
          <w:rFonts w:hint="eastAsia" w:eastAsia="黑体"/>
          <w:sz w:val="36"/>
          <w:szCs w:val="36"/>
        </w:rPr>
        <w:t>6</w:t>
      </w:r>
      <w:r>
        <w:rPr>
          <w:rFonts w:eastAsia="黑体"/>
          <w:sz w:val="36"/>
          <w:szCs w:val="36"/>
        </w:rPr>
        <w:t>年高考</w:t>
      </w:r>
      <w:r>
        <w:rPr>
          <w:rFonts w:hint="eastAsia" w:eastAsia="黑体"/>
          <w:sz w:val="36"/>
          <w:szCs w:val="36"/>
        </w:rPr>
        <w:t>考前最后一卷（浙江专用）</w:t>
      </w:r>
    </w:p>
    <w:p w14:paraId="39954051">
      <w:pPr>
        <w:widowControl/>
        <w:spacing w:line="360" w:lineRule="auto"/>
        <w:ind w:left="315"/>
        <w:jc w:val="center"/>
        <w:textAlignment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历   史</w:t>
      </w:r>
    </w:p>
    <w:p w14:paraId="45EC5578">
      <w:pPr>
        <w:pStyle w:val="9"/>
        <w:adjustRightInd w:val="0"/>
        <w:spacing w:line="360" w:lineRule="auto"/>
        <w:ind w:left="315" w:firstLine="0" w:firstLineChars="0"/>
        <w:jc w:val="center"/>
        <w:textAlignment w:val="center"/>
        <w:rPr>
          <w:rFonts w:eastAsia="楷体"/>
        </w:rPr>
      </w:pPr>
      <w:r>
        <w:rPr>
          <w:rFonts w:eastAsia="楷体"/>
        </w:rPr>
        <w:t>（考试时间：90分钟   试卷满分：100分）</w:t>
      </w:r>
    </w:p>
    <w:p w14:paraId="309D1B0B">
      <w:pPr>
        <w:widowControl/>
        <w:spacing w:line="360" w:lineRule="auto"/>
        <w:ind w:left="315"/>
        <w:textAlignment w:val="center"/>
        <w:rPr>
          <w:rFonts w:eastAsia="黑体"/>
          <w:szCs w:val="21"/>
        </w:rPr>
      </w:pPr>
      <w:r>
        <w:rPr>
          <w:rFonts w:eastAsia="黑体"/>
          <w:szCs w:val="21"/>
        </w:rPr>
        <w:t>注意事项：</w:t>
      </w:r>
    </w:p>
    <w:p w14:paraId="23187404">
      <w:pPr>
        <w:widowControl/>
        <w:spacing w:line="360" w:lineRule="auto"/>
        <w:ind w:left="315" w:firstLine="420" w:firstLineChars="200"/>
        <w:textAlignment w:val="center"/>
        <w:rPr>
          <w:szCs w:val="21"/>
        </w:rPr>
      </w:pPr>
      <w:r>
        <w:rPr>
          <w:szCs w:val="21"/>
        </w:rPr>
        <w:t>1．本试卷分第Ⅰ卷（选择题）和第Ⅱ卷（非选择题）两部分。答卷前，考生务必将自己的姓名、准考证号填写在答题卡上。</w:t>
      </w:r>
    </w:p>
    <w:p w14:paraId="00C263F8">
      <w:pPr>
        <w:widowControl/>
        <w:spacing w:line="360" w:lineRule="auto"/>
        <w:ind w:left="315" w:firstLine="420" w:firstLineChars="200"/>
        <w:textAlignment w:val="center"/>
        <w:rPr>
          <w:szCs w:val="21"/>
        </w:rPr>
      </w:pPr>
      <w:r>
        <w:rPr>
          <w:szCs w:val="21"/>
        </w:rPr>
        <w:t>2．回答第Ⅰ卷时，选出每小题答案后，用2B铅笔把答题卡上对应题目的答案标号涂黑。如需改动，用橡皮擦干净后，再选涂其他答案标号。写在本试卷上无效。</w:t>
      </w:r>
    </w:p>
    <w:p w14:paraId="1D6C85C9">
      <w:pPr>
        <w:widowControl/>
        <w:spacing w:line="360" w:lineRule="auto"/>
        <w:ind w:left="315" w:firstLine="420" w:firstLineChars="200"/>
        <w:textAlignment w:val="center"/>
        <w:rPr>
          <w:szCs w:val="21"/>
        </w:rPr>
      </w:pPr>
      <w:r>
        <w:rPr>
          <w:szCs w:val="21"/>
        </w:rPr>
        <w:t>3．回答第Ⅱ卷时，将答案写在答题卡上。写在本试卷上无效。</w:t>
      </w:r>
    </w:p>
    <w:p w14:paraId="310CD029">
      <w:pPr>
        <w:widowControl/>
        <w:spacing w:line="360" w:lineRule="auto"/>
        <w:ind w:left="315" w:firstLine="420" w:firstLineChars="200"/>
        <w:textAlignment w:val="center"/>
        <w:rPr>
          <w:szCs w:val="21"/>
        </w:rPr>
      </w:pPr>
      <w:r>
        <w:rPr>
          <w:szCs w:val="21"/>
        </w:rPr>
        <w:t>4．考试结束后，将本试卷和答题卡一并交回。</w:t>
      </w:r>
    </w:p>
    <w:p w14:paraId="5C081B80">
      <w:pPr>
        <w:spacing w:line="360" w:lineRule="auto"/>
        <w:ind w:left="315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选择题部分</w:t>
      </w:r>
    </w:p>
    <w:p w14:paraId="61BFD798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一、选择题I（本大题共</w:t>
      </w:r>
      <w:r>
        <w:rPr>
          <w:rFonts w:hint="eastAsia" w:ascii="宋体" w:hAnsi="宋体"/>
          <w:b/>
          <w:bCs/>
        </w:rPr>
        <w:t>5</w:t>
      </w:r>
      <w:r>
        <w:rPr>
          <w:rFonts w:ascii="宋体" w:hAnsi="宋体"/>
          <w:b/>
          <w:bCs/>
        </w:rPr>
        <w:t>小题，每小题2分，共</w:t>
      </w:r>
      <w:r>
        <w:rPr>
          <w:rFonts w:hint="eastAsia" w:ascii="宋体" w:hAnsi="宋体"/>
          <w:b/>
          <w:bCs/>
        </w:rPr>
        <w:t>1</w:t>
      </w:r>
      <w:r>
        <w:rPr>
          <w:rFonts w:ascii="宋体" w:hAnsi="宋体"/>
          <w:b/>
          <w:bCs/>
        </w:rPr>
        <w:t>0分。每小题列出的四个备选项中只有一个是符合题目要求的，不选、多选、错</w:t>
      </w:r>
      <w:r>
        <w:rPr>
          <w:rFonts w:hint="eastAsia" w:ascii="宋体" w:hAnsi="宋体"/>
          <w:b/>
          <w:bCs/>
        </w:rPr>
        <w:t>选</w:t>
      </w:r>
      <w:r>
        <w:rPr>
          <w:rFonts w:ascii="宋体" w:hAnsi="宋体"/>
          <w:b/>
          <w:bCs/>
        </w:rPr>
        <w:t>均不得分）</w:t>
      </w:r>
    </w:p>
    <w:p w14:paraId="6632392E">
      <w:pPr>
        <w:spacing w:line="360" w:lineRule="auto"/>
        <w:ind w:left="315" w:hanging="315"/>
        <w:jc w:val="left"/>
        <w:textAlignment w:val="center"/>
      </w:pPr>
      <w:r>
        <w:t>1．考古发现，二里头的宫城遗址中，二号宫庙与一号宫殿呈东西分布，二者各有一条南北向的轴线；偃师商城的宫城遗址也有“左庙右宫”及“双轴线”。这可以说明我国早期国家（</w:t>
      </w:r>
      <w:r>
        <w:rPr>
          <w:rFonts w:eastAsia="Times New Roman"/>
          <w:kern w:val="0"/>
          <w:sz w:val="24"/>
          <w:szCs w:val="24"/>
        </w:rPr>
        <w:t xml:space="preserve">    </w:t>
      </w:r>
      <w:r>
        <w:t>）</w:t>
      </w:r>
    </w:p>
    <w:p w14:paraId="05E54E72">
      <w:pPr>
        <w:spacing w:line="360" w:lineRule="auto"/>
        <w:ind w:left="315"/>
        <w:jc w:val="left"/>
        <w:textAlignment w:val="center"/>
      </w:pPr>
      <w:r>
        <w:t>A．血缘关系与权力中心相互维系</w:t>
      </w:r>
      <w:r>
        <w:tab/>
      </w:r>
      <w:r>
        <w:t>B．祭祀制度日趋完备</w:t>
      </w:r>
    </w:p>
    <w:p w14:paraId="688C3A6A">
      <w:pPr>
        <w:spacing w:line="360" w:lineRule="auto"/>
        <w:ind w:left="315"/>
        <w:jc w:val="left"/>
        <w:textAlignment w:val="center"/>
      </w:pPr>
      <w:r>
        <w:t>C．内服王畿与外服方国相互对立</w:t>
      </w:r>
      <w:r>
        <w:tab/>
      </w:r>
      <w:r>
        <w:t>D．都城布局已成定式</w:t>
      </w:r>
    </w:p>
    <w:p w14:paraId="5E7F297B">
      <w:pPr>
        <w:spacing w:line="360" w:lineRule="auto"/>
        <w:ind w:left="315" w:hanging="315"/>
        <w:jc w:val="left"/>
        <w:textAlignment w:val="center"/>
      </w:pPr>
      <w:r>
        <w:t>2．《唐律疏议》规定，“诸詈（责骂）祖父母、父母者，绞；诬告老、小、废疾，若实，即前人合赎。虚，即反坐者亦依赎论；凡是同居之内，必有尊长。尊长既在，子孙无所自专。”这些规定（</w:t>
      </w:r>
      <w:r>
        <w:rPr>
          <w:rFonts w:eastAsia="Times New Roman"/>
          <w:kern w:val="0"/>
          <w:sz w:val="24"/>
          <w:szCs w:val="24"/>
        </w:rPr>
        <w:t xml:space="preserve">    </w:t>
      </w:r>
      <w:r>
        <w:t>）</w:t>
      </w:r>
    </w:p>
    <w:p w14:paraId="37713177">
      <w:pPr>
        <w:spacing w:line="360" w:lineRule="auto"/>
        <w:ind w:left="315"/>
        <w:jc w:val="left"/>
        <w:textAlignment w:val="center"/>
      </w:pPr>
      <w:r>
        <w:t>A．完善了国家的法律体系</w:t>
      </w:r>
      <w:r>
        <w:tab/>
      </w:r>
      <w:r>
        <w:t>B．确立了古代敬老的法律准则</w:t>
      </w:r>
    </w:p>
    <w:p w14:paraId="0F2B8649">
      <w:pPr>
        <w:spacing w:line="360" w:lineRule="auto"/>
        <w:ind w:left="315"/>
        <w:jc w:val="left"/>
        <w:textAlignment w:val="center"/>
      </w:pPr>
      <w:r>
        <w:t>C．渗透了理学的纲常伦理</w:t>
      </w:r>
      <w:r>
        <w:tab/>
      </w:r>
      <w:r>
        <w:t>D．凸显了礼法合一的法制特征</w:t>
      </w:r>
    </w:p>
    <w:p w14:paraId="53D6DBEC">
      <w:pPr>
        <w:spacing w:line="360" w:lineRule="auto"/>
        <w:ind w:left="315" w:hanging="315"/>
        <w:jc w:val="left"/>
        <w:textAlignment w:val="center"/>
      </w:pPr>
      <w:r>
        <w:t>3．1952年，中央电影局建立科学教育影片创作机构，拍摄了《郝建秀工作法》《先进砌砖法》等13部影片。1954年，中央电影局与全国科普协会联合举办的第一次“科学教育片展览”在北京等六大城市举行，受到人民群众的热烈欢迎。这（</w:t>
      </w:r>
      <w:r>
        <w:rPr>
          <w:rFonts w:eastAsia="Times New Roman"/>
          <w:kern w:val="0"/>
          <w:sz w:val="24"/>
          <w:szCs w:val="24"/>
        </w:rPr>
        <w:t xml:space="preserve">    </w:t>
      </w:r>
      <w:r>
        <w:t>）</w:t>
      </w:r>
    </w:p>
    <w:p w14:paraId="5CC9D0B3">
      <w:pPr>
        <w:spacing w:line="360" w:lineRule="auto"/>
        <w:ind w:left="315"/>
        <w:jc w:val="left"/>
        <w:textAlignment w:val="center"/>
      </w:pPr>
      <w:r>
        <w:t>A．服务于社会主义工业化建设</w:t>
      </w:r>
      <w:r>
        <w:tab/>
      </w:r>
      <w:r>
        <w:t>B．得益于计划经济体制的确立</w:t>
      </w:r>
    </w:p>
    <w:p w14:paraId="2FC99DCB">
      <w:pPr>
        <w:spacing w:line="360" w:lineRule="auto"/>
        <w:ind w:left="315"/>
        <w:jc w:val="left"/>
        <w:textAlignment w:val="center"/>
      </w:pPr>
      <w:r>
        <w:t>C．奠定了国民经济恢复的基础</w:t>
      </w:r>
      <w:r>
        <w:tab/>
      </w:r>
      <w:r>
        <w:t>D．践行了“双百”方针的理念</w:t>
      </w:r>
    </w:p>
    <w:p w14:paraId="73345033">
      <w:pPr>
        <w:spacing w:line="360" w:lineRule="auto"/>
        <w:ind w:left="315" w:hanging="315"/>
        <w:jc w:val="left"/>
        <w:textAlignment w:val="center"/>
      </w:pPr>
      <w:r>
        <w:t xml:space="preserve">4．两河流域出土的塞琉古王国时期文物“希腊-巴比伦泥板”，正面为楔形文字，背面是希腊字母转写；与泥板文书一同出土的印章刻有象征塞琉古王权的锚、狮子图像及希腊语音译铭文。这一现象反映了（   </w:t>
      </w:r>
      <w:r>
        <w:rPr>
          <w:rFonts w:eastAsia="Times New Roman"/>
          <w:kern w:val="0"/>
          <w:sz w:val="24"/>
          <w:szCs w:val="24"/>
        </w:rPr>
        <w:t> </w:t>
      </w:r>
      <w:r>
        <w:t>）</w:t>
      </w:r>
    </w:p>
    <w:p w14:paraId="51CEE508">
      <w:pPr>
        <w:spacing w:line="360" w:lineRule="auto"/>
        <w:ind w:left="315"/>
        <w:jc w:val="left"/>
        <w:textAlignment w:val="center"/>
      </w:pPr>
      <w:r>
        <w:t>A．两河流域文化走向式微</w:t>
      </w:r>
      <w:r>
        <w:tab/>
      </w:r>
      <w:r>
        <w:t>B．帝国扩张推动政治文化趋同</w:t>
      </w:r>
    </w:p>
    <w:p w14:paraId="200644D8">
      <w:pPr>
        <w:spacing w:line="360" w:lineRule="auto"/>
        <w:ind w:left="315"/>
        <w:jc w:val="left"/>
        <w:textAlignment w:val="center"/>
      </w:pPr>
      <w:r>
        <w:t>C．希腊化时代的文化交融</w:t>
      </w:r>
      <w:r>
        <w:tab/>
      </w:r>
      <w:r>
        <w:t>D．政治局势变动促进文字创新</w:t>
      </w:r>
    </w:p>
    <w:p w14:paraId="3E883763">
      <w:pPr>
        <w:spacing w:line="360" w:lineRule="auto"/>
        <w:ind w:left="315" w:hanging="315"/>
        <w:jc w:val="left"/>
        <w:textAlignment w:val="center"/>
      </w:pPr>
      <w:r>
        <w:t>5．“生态帝国主义”是指欧洲通过有意或无意地引入其本土的动植物、杂草和病原体，系统性改变新占领地区的生态系统，使其在生态上“欧洲化”，并最终导致原住民社会崩溃和生物多样性剧变的历史过程。可验证这一理论的是（</w:t>
      </w:r>
      <w:r>
        <w:rPr>
          <w:rFonts w:eastAsia="Times New Roman"/>
          <w:kern w:val="0"/>
          <w:sz w:val="24"/>
          <w:szCs w:val="24"/>
        </w:rPr>
        <w:t xml:space="preserve">    </w:t>
      </w:r>
      <w:r>
        <w:t>）</w:t>
      </w:r>
    </w:p>
    <w:p w14:paraId="445E78F1">
      <w:pPr>
        <w:spacing w:line="360" w:lineRule="auto"/>
        <w:ind w:left="315"/>
        <w:jc w:val="left"/>
        <w:textAlignment w:val="center"/>
      </w:pPr>
      <w:r>
        <w:t>A．天花造成印第安人大量死亡</w:t>
      </w:r>
      <w:r>
        <w:tab/>
      </w:r>
      <w:r>
        <w:t>B．玉米和辣椒在中国广泛种植</w:t>
      </w:r>
    </w:p>
    <w:p w14:paraId="0BAC62B2">
      <w:pPr>
        <w:spacing w:line="360" w:lineRule="auto"/>
        <w:ind w:left="315"/>
        <w:jc w:val="left"/>
        <w:textAlignment w:val="center"/>
      </w:pPr>
      <w:r>
        <w:t>C．华工作为苦力被运往美洲等地</w:t>
      </w:r>
      <w:r>
        <w:tab/>
      </w:r>
      <w:r>
        <w:t>D．种植马铃薯使爱尔兰人度过荒年</w:t>
      </w:r>
    </w:p>
    <w:p w14:paraId="5E0CC642">
      <w:pPr>
        <w:spacing w:line="360" w:lineRule="auto"/>
        <w:jc w:val="left"/>
        <w:textAlignment w:val="center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二、</w:t>
      </w:r>
      <w:r>
        <w:rPr>
          <w:rFonts w:hint="eastAsia" w:ascii="宋体" w:hAnsi="宋体"/>
          <w:b/>
          <w:bCs/>
        </w:rPr>
        <w:t>选择题</w:t>
      </w:r>
      <w:r>
        <w:rPr>
          <w:rFonts w:ascii="宋体" w:hAnsi="宋体"/>
          <w:b/>
          <w:bCs/>
        </w:rPr>
        <w:t>II</w:t>
      </w:r>
      <w:r>
        <w:rPr>
          <w:rFonts w:hint="eastAsia" w:ascii="宋体" w:hAnsi="宋体"/>
          <w:b/>
          <w:bCs/>
        </w:rPr>
        <w:t>（本大题共12小题，每小题</w:t>
      </w:r>
      <w:r>
        <w:rPr>
          <w:rFonts w:ascii="宋体" w:hAnsi="宋体"/>
          <w:b/>
          <w:bCs/>
        </w:rPr>
        <w:t>3</w:t>
      </w:r>
      <w:r>
        <w:rPr>
          <w:rFonts w:hint="eastAsia" w:ascii="宋体" w:hAnsi="宋体"/>
          <w:b/>
          <w:bCs/>
        </w:rPr>
        <w:t>分，共36分。</w:t>
      </w:r>
      <w:r>
        <w:rPr>
          <w:rFonts w:ascii="宋体" w:hAnsi="宋体"/>
          <w:b/>
          <w:bCs/>
        </w:rPr>
        <w:t>每小题列出的四个</w:t>
      </w:r>
      <w:r>
        <w:rPr>
          <w:rFonts w:hint="eastAsia" w:ascii="宋体" w:hAnsi="宋体"/>
          <w:b/>
          <w:bCs/>
        </w:rPr>
        <w:t>备</w:t>
      </w:r>
      <w:r>
        <w:rPr>
          <w:rFonts w:ascii="宋体" w:hAnsi="宋体"/>
          <w:b/>
          <w:bCs/>
        </w:rPr>
        <w:t>选项中只有一个是</w:t>
      </w:r>
      <w:r>
        <w:rPr>
          <w:rFonts w:hint="eastAsia" w:ascii="宋体" w:hAnsi="宋体"/>
          <w:b/>
          <w:bCs/>
        </w:rPr>
        <w:t>符合题目要求的，不选、多选、错选均不得分）</w:t>
      </w:r>
    </w:p>
    <w:p w14:paraId="74AFF0AE">
      <w:pPr>
        <w:spacing w:line="360" w:lineRule="auto"/>
        <w:ind w:left="315" w:hanging="315"/>
        <w:jc w:val="left"/>
        <w:textAlignment w:val="center"/>
      </w:pPr>
      <w:r>
        <w:t>6．南宋时</w:t>
      </w:r>
      <w:r>
        <w:rPr>
          <w:rFonts w:asciiTheme="minorEastAsia" w:hAnsiTheme="minorEastAsia" w:eastAsiaTheme="minorEastAsia"/>
        </w:rPr>
        <w:t>期，“淮南诸郡，比经兵火，所存凋瘵（困苦），百无二三。其间尝为人佃客而徙乡易主，以就口食。……兵火之后，契券不明，州县既无所凭，故一时金多位高者咸得肆其所欲，而贫弱下户莫适赴愬（诉），勉从驱使”。这</w:t>
      </w:r>
      <w:r>
        <w:t>反映了，南宋时期（</w:t>
      </w:r>
      <w:r>
        <w:rPr>
          <w:rFonts w:eastAsia="Times New Roman"/>
          <w:kern w:val="0"/>
          <w:sz w:val="24"/>
          <w:szCs w:val="24"/>
        </w:rPr>
        <w:t xml:space="preserve">    </w:t>
      </w:r>
      <w:r>
        <w:t>）</w:t>
      </w:r>
    </w:p>
    <w:p w14:paraId="25C992D8">
      <w:pPr>
        <w:spacing w:line="360" w:lineRule="auto"/>
        <w:ind w:left="315"/>
        <w:jc w:val="left"/>
        <w:textAlignment w:val="center"/>
      </w:pPr>
      <w:r>
        <w:t>A．土地兼并严重</w:t>
      </w:r>
      <w:r>
        <w:tab/>
      </w:r>
      <w:r>
        <w:t>B．朝廷给予佃户租佃自由</w:t>
      </w:r>
    </w:p>
    <w:p w14:paraId="4E5E0E6C">
      <w:pPr>
        <w:spacing w:line="360" w:lineRule="auto"/>
        <w:ind w:left="315"/>
        <w:jc w:val="left"/>
        <w:textAlignment w:val="center"/>
      </w:pPr>
      <w:r>
        <w:t>C．户籍管理松弛</w:t>
      </w:r>
      <w:r>
        <w:tab/>
      </w:r>
      <w:r>
        <w:t>D．契约适用领域愈加广泛</w:t>
      </w:r>
    </w:p>
    <w:p w14:paraId="41226CCE">
      <w:pPr>
        <w:spacing w:line="360" w:lineRule="auto"/>
        <w:ind w:left="315" w:hanging="315"/>
        <w:jc w:val="left"/>
        <w:textAlignment w:val="center"/>
      </w:pPr>
      <w:r>
        <w:t>7．明朝中期思想家陈献章主张 “君子一心，万理完具，事物虽多，莫非在我”，认为 “为学须从静坐中养出个端倪来”。这一思想（</w:t>
      </w:r>
      <w:r>
        <w:rPr>
          <w:rFonts w:eastAsia="Times New Roman"/>
          <w:kern w:val="0"/>
          <w:sz w:val="24"/>
          <w:szCs w:val="24"/>
        </w:rPr>
        <w:t xml:space="preserve">    </w:t>
      </w:r>
      <w:r>
        <w:t>）</w:t>
      </w:r>
    </w:p>
    <w:p w14:paraId="62689AB8">
      <w:pPr>
        <w:spacing w:line="360" w:lineRule="auto"/>
        <w:ind w:left="315"/>
        <w:jc w:val="left"/>
        <w:textAlignment w:val="center"/>
      </w:pPr>
      <w:r>
        <w:t>A．顺应了三教合一的时代潮流</w:t>
      </w:r>
      <w:r>
        <w:tab/>
      </w:r>
      <w:r>
        <w:t>B．挑战了封建纲常伦理</w:t>
      </w:r>
    </w:p>
    <w:p w14:paraId="283904F9">
      <w:pPr>
        <w:spacing w:line="360" w:lineRule="auto"/>
        <w:ind w:left="315"/>
        <w:jc w:val="left"/>
        <w:textAlignment w:val="center"/>
      </w:pPr>
      <w:r>
        <w:t>C．体现了经世致用的务实精神</w:t>
      </w:r>
      <w:r>
        <w:tab/>
      </w:r>
      <w:r>
        <w:t>D．推动了儒学的新发展</w:t>
      </w:r>
    </w:p>
    <w:p w14:paraId="0B52AF48">
      <w:pPr>
        <w:spacing w:line="360" w:lineRule="auto"/>
        <w:ind w:left="315" w:hanging="315"/>
        <w:jc w:val="left"/>
        <w:textAlignment w:val="center"/>
      </w:pPr>
      <w:r>
        <w:t>8．下图为漫画《毋使滋蔓》，刊载于《图画日报》（1909年）。该漫画折射出当时（</w:t>
      </w:r>
      <w:r>
        <w:rPr>
          <w:rFonts w:eastAsia="Times New Roman"/>
          <w:kern w:val="0"/>
          <w:sz w:val="24"/>
          <w:szCs w:val="24"/>
        </w:rPr>
        <w:t xml:space="preserve">    </w:t>
      </w:r>
      <w:r>
        <w:t>）</w:t>
      </w:r>
    </w:p>
    <w:p w14:paraId="351C9638">
      <w:pPr>
        <w:spacing w:line="360" w:lineRule="auto"/>
        <w:ind w:left="315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333625" cy="2143125"/>
            <wp:effectExtent l="0" t="0" r="0" b="0"/>
            <wp:docPr id="100003" name="图片 100003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047B3">
      <w:pPr>
        <w:spacing w:line="360" w:lineRule="auto"/>
        <w:ind w:left="315"/>
        <w:jc w:val="left"/>
        <w:textAlignment w:val="center"/>
      </w:pPr>
      <w:r>
        <w:t>（注：右上文字为“新智识之杂货店”；“讽刺画”）</w:t>
      </w:r>
    </w:p>
    <w:p w14:paraId="1967BEB8">
      <w:pPr>
        <w:spacing w:line="360" w:lineRule="auto"/>
        <w:ind w:left="315"/>
        <w:jc w:val="left"/>
        <w:textAlignment w:val="center"/>
      </w:pPr>
      <w:r>
        <w:t>A．新旧阶层合力塑造社会新风</w:t>
      </w:r>
      <w:r>
        <w:rPr>
          <w:rFonts w:hint="eastAsia"/>
        </w:rPr>
        <w:tab/>
      </w:r>
      <w:r>
        <w:t>B．报刊成为宣传洋务思想的阵地</w:t>
      </w:r>
    </w:p>
    <w:p w14:paraId="469C2182">
      <w:pPr>
        <w:spacing w:line="360" w:lineRule="auto"/>
        <w:ind w:left="315"/>
        <w:jc w:val="left"/>
        <w:textAlignment w:val="center"/>
      </w:pPr>
      <w:r>
        <w:t>C．民主思潮与社会现实的脱节</w:t>
      </w:r>
      <w:r>
        <w:rPr>
          <w:rFonts w:hint="eastAsia"/>
        </w:rPr>
        <w:tab/>
      </w:r>
      <w:r>
        <w:t>D．社会变革的力量正在逐步酝酿</w:t>
      </w:r>
    </w:p>
    <w:p w14:paraId="10CA22BB">
      <w:pPr>
        <w:spacing w:line="360" w:lineRule="auto"/>
        <w:ind w:left="315" w:hanging="315"/>
        <w:jc w:val="left"/>
        <w:textAlignment w:val="center"/>
      </w:pPr>
      <w:r>
        <w:t>9．九一八事变后，中国共产党在村镇采用“挨户的、口头的、化装的方式”或利用各种会议、剧场进行宣传，在国统区运用“水上（放木板）”“空中（放孔明灯）”或“散发张贴宣传”加强引导。这表明中国共产党（</w:t>
      </w:r>
      <w:r>
        <w:rPr>
          <w:rFonts w:eastAsia="Times New Roman"/>
          <w:kern w:val="0"/>
          <w:sz w:val="24"/>
          <w:szCs w:val="24"/>
        </w:rPr>
        <w:t xml:space="preserve">    </w:t>
      </w:r>
      <w:r>
        <w:t>）</w:t>
      </w:r>
    </w:p>
    <w:p w14:paraId="595194E1">
      <w:pPr>
        <w:spacing w:line="360" w:lineRule="auto"/>
        <w:ind w:left="315"/>
        <w:jc w:val="left"/>
        <w:textAlignment w:val="center"/>
      </w:pPr>
      <w:r>
        <w:t>A．构建起灵活的抗日动员体系</w:t>
      </w:r>
      <w:r>
        <w:rPr>
          <w:rFonts w:hint="eastAsia"/>
        </w:rPr>
        <w:tab/>
      </w:r>
      <w:r>
        <w:t>B．建立和维护抗日民族统一战线</w:t>
      </w:r>
    </w:p>
    <w:p w14:paraId="39E27B2D">
      <w:pPr>
        <w:spacing w:line="360" w:lineRule="auto"/>
        <w:ind w:left="315"/>
        <w:jc w:val="left"/>
        <w:textAlignment w:val="center"/>
      </w:pPr>
      <w:r>
        <w:t>C．致力打破国民党的军事封锁</w:t>
      </w:r>
      <w:r>
        <w:rPr>
          <w:rFonts w:hint="eastAsia"/>
        </w:rPr>
        <w:tab/>
      </w:r>
      <w:r>
        <w:t>D．深入开展敌后抗日根据地建设</w:t>
      </w:r>
    </w:p>
    <w:p w14:paraId="7E2E19C4">
      <w:pPr>
        <w:spacing w:line="360" w:lineRule="auto"/>
        <w:ind w:left="420" w:hanging="420"/>
        <w:jc w:val="left"/>
        <w:textAlignment w:val="center"/>
      </w:pPr>
      <w:r>
        <w:t>10．1995年中央正式提出实施“科教兴国”战略，明确要将科技发展置于国家发展的核心地位，并进一步指出自主创新是国家发展的必由之路。中国不断完善科技管理体制，逐步健全科技成果转化机制，并通过设立重点高技术研究与产业化示范区，系统推动关键领域的技术突破与产业升级。该战略的实施（</w:t>
      </w:r>
      <w:r>
        <w:rPr>
          <w:rFonts w:eastAsia="Times New Roman"/>
          <w:kern w:val="0"/>
          <w:sz w:val="24"/>
          <w:szCs w:val="24"/>
        </w:rPr>
        <w:t xml:space="preserve">    </w:t>
      </w:r>
      <w:r>
        <w:t>）</w:t>
      </w:r>
    </w:p>
    <w:p w14:paraId="2AFA2CBD">
      <w:pPr>
        <w:spacing w:line="360" w:lineRule="auto"/>
        <w:ind w:left="420"/>
        <w:jc w:val="left"/>
        <w:textAlignment w:val="center"/>
      </w:pPr>
      <w:r>
        <w:t>A．奠定了完整工业体系的坚实基础</w:t>
      </w:r>
      <w:r>
        <w:rPr>
          <w:rFonts w:hint="eastAsia"/>
        </w:rPr>
        <w:tab/>
      </w:r>
      <w:r>
        <w:t>B．提升了国民的整体科学文化素养</w:t>
      </w:r>
    </w:p>
    <w:p w14:paraId="53F2B2EB">
      <w:pPr>
        <w:spacing w:line="360" w:lineRule="auto"/>
        <w:ind w:left="420"/>
        <w:jc w:val="left"/>
        <w:textAlignment w:val="center"/>
      </w:pPr>
      <w:r>
        <w:t>C．适应了社会主义市场经济的要求</w:t>
      </w:r>
      <w:r>
        <w:rPr>
          <w:rFonts w:hint="eastAsia"/>
        </w:rPr>
        <w:tab/>
      </w:r>
      <w:r>
        <w:t>D．推动了国民教育体系的趋于完备</w:t>
      </w:r>
    </w:p>
    <w:p w14:paraId="215615A7">
      <w:pPr>
        <w:spacing w:line="360" w:lineRule="auto"/>
        <w:ind w:left="420" w:hanging="420"/>
        <w:jc w:val="left"/>
        <w:textAlignment w:val="center"/>
      </w:pPr>
      <w:r>
        <w:t>11．关于监察官的选任，两汉多用察举方式，唐代该权力实际上多由宰相掌握，宋代中央一级监察官多由帝王亲自选拔，明代由都察院挑选人员后拟定候选人，然后由皇帝“点选”。民国时监察委员由院长提请国民政府任命，后改为选举产生。2018年我国建立“由人大产生，对人大负责，接受人大监督”的国家监察委员会。对此理解正确的是（   ）</w:t>
      </w:r>
    </w:p>
    <w:p w14:paraId="023F800D">
      <w:pPr>
        <w:spacing w:line="360" w:lineRule="auto"/>
        <w:ind w:left="420"/>
        <w:jc w:val="left"/>
        <w:textAlignment w:val="center"/>
      </w:pPr>
      <w:r>
        <w:t>A．监察制度有效地保障了政治清明</w:t>
      </w:r>
      <w:r>
        <w:rPr>
          <w:rFonts w:hint="eastAsia"/>
        </w:rPr>
        <w:tab/>
      </w:r>
      <w:r>
        <w:t>B．监察制度的权威性呈现出先上升后下降的态势</w:t>
      </w:r>
    </w:p>
    <w:p w14:paraId="3F60CCB1">
      <w:pPr>
        <w:spacing w:line="360" w:lineRule="auto"/>
        <w:ind w:left="420"/>
        <w:jc w:val="left"/>
        <w:textAlignment w:val="center"/>
      </w:pPr>
      <w:r>
        <w:t>C．君主严格地控制着监察官选任权</w:t>
      </w:r>
      <w:r>
        <w:rPr>
          <w:rFonts w:hint="eastAsia"/>
        </w:rPr>
        <w:tab/>
      </w:r>
      <w:r>
        <w:t>D．演变在一定程度折射出国家对民主政治的追求</w:t>
      </w:r>
    </w:p>
    <w:p w14:paraId="3CFD1511">
      <w:pPr>
        <w:spacing w:line="360" w:lineRule="auto"/>
        <w:ind w:left="420" w:hanging="420"/>
        <w:jc w:val="left"/>
        <w:textAlignment w:val="center"/>
      </w:pPr>
      <w:r>
        <w:t>12．为适应新的粮食生产和流通格局变化，国家开展粮食生产功能区划分，出台一系列政策措施支持优势产区发展。2023年全国13个粮食主产区产量达到10834亿斤，占全国产量的比重为77．9%，其中东北四省区粮食产量3699亿斤，比1978年增加2917亿斤，比2012年增加706亿斤，占全国粮食总产量达到26．6%。这表明（</w:t>
      </w:r>
      <w:r>
        <w:rPr>
          <w:rFonts w:eastAsia="Times New Roman"/>
          <w:kern w:val="0"/>
          <w:sz w:val="24"/>
          <w:szCs w:val="24"/>
        </w:rPr>
        <w:t xml:space="preserve">    </w:t>
      </w:r>
      <w:r>
        <w:t>）</w:t>
      </w:r>
    </w:p>
    <w:p w14:paraId="1D69A634">
      <w:pPr>
        <w:spacing w:line="360" w:lineRule="auto"/>
        <w:ind w:left="420"/>
        <w:jc w:val="left"/>
        <w:textAlignment w:val="center"/>
      </w:pPr>
      <w:r>
        <w:t>A．经济体制改革促进了农业商品化</w:t>
      </w:r>
      <w:r>
        <w:tab/>
      </w:r>
      <w:r>
        <w:t>B．对外开放为农业发展保驾护航</w:t>
      </w:r>
    </w:p>
    <w:p w14:paraId="1177781E">
      <w:pPr>
        <w:spacing w:line="360" w:lineRule="auto"/>
        <w:ind w:left="420"/>
        <w:jc w:val="left"/>
        <w:textAlignment w:val="center"/>
      </w:pPr>
      <w:r>
        <w:t>C．政府重视提升农业综合发展能力</w:t>
      </w:r>
      <w:r>
        <w:tab/>
      </w:r>
      <w:r>
        <w:t>D．中国推行增产为主的经济战略</w:t>
      </w:r>
    </w:p>
    <w:p w14:paraId="58863B40">
      <w:pPr>
        <w:spacing w:line="360" w:lineRule="auto"/>
        <w:ind w:left="420" w:hanging="420"/>
        <w:jc w:val="left"/>
        <w:textAlignment w:val="center"/>
      </w:pPr>
      <w:r>
        <w:t>13．艾尔·比鲁尼在《塞伊达那集》中说道：“世界各地的科学（著作）被译成了阿拉伯文，它们获得修饰而深入人心，其文字的优美在人们的血管里川流不息。”乔治·萨顿也认为：“拉丁文化是西方的，中国文化是东方的，而阿拉伯文化却两者兼备。”由此可见（</w:t>
      </w:r>
      <w:r>
        <w:rPr>
          <w:rFonts w:eastAsia="Times New Roman"/>
          <w:kern w:val="0"/>
          <w:sz w:val="24"/>
          <w:szCs w:val="24"/>
        </w:rPr>
        <w:t xml:space="preserve">    </w:t>
      </w:r>
      <w:r>
        <w:t>）</w:t>
      </w:r>
    </w:p>
    <w:p w14:paraId="136DD689">
      <w:pPr>
        <w:spacing w:line="360" w:lineRule="auto"/>
        <w:ind w:left="420"/>
        <w:jc w:val="left"/>
        <w:textAlignment w:val="center"/>
      </w:pPr>
      <w:r>
        <w:t>A．阿拉伯是东西方文化交流的桥梁</w:t>
      </w:r>
      <w:r>
        <w:rPr>
          <w:rFonts w:hint="eastAsia"/>
        </w:rPr>
        <w:tab/>
      </w:r>
      <w:r>
        <w:t>B．不同区域文化在交流融合中创新</w:t>
      </w:r>
    </w:p>
    <w:p w14:paraId="2FD5834E">
      <w:pPr>
        <w:spacing w:line="360" w:lineRule="auto"/>
        <w:ind w:left="420"/>
        <w:jc w:val="left"/>
        <w:textAlignment w:val="center"/>
      </w:pPr>
      <w:r>
        <w:t>C．阿拉伯文化兼具传播与融合价值</w:t>
      </w:r>
      <w:r>
        <w:rPr>
          <w:rFonts w:hint="eastAsia"/>
        </w:rPr>
        <w:tab/>
      </w:r>
      <w:r>
        <w:t>D．阿拉伯文字促进了科学不断发展</w:t>
      </w:r>
    </w:p>
    <w:p w14:paraId="006150AE">
      <w:pPr>
        <w:spacing w:line="360" w:lineRule="auto"/>
        <w:ind w:left="420" w:hanging="420"/>
        <w:jc w:val="left"/>
        <w:textAlignment w:val="center"/>
      </w:pPr>
      <w:r>
        <w:t>14．1624年，英国颁布了世界上第一部具有现代意义的专利法《垄断法规》，确立了以法律保护发明者权利的核心原则。下图是1600—1851年间英国专利授权数量情况，这反映了这一时期英国（</w:t>
      </w:r>
      <w:r>
        <w:rPr>
          <w:rFonts w:eastAsia="Times New Roman"/>
          <w:kern w:val="0"/>
          <w:sz w:val="24"/>
          <w:szCs w:val="24"/>
        </w:rPr>
        <w:t xml:space="preserve">    </w:t>
      </w:r>
      <w:r>
        <w:t>）</w:t>
      </w:r>
    </w:p>
    <w:p w14:paraId="1B75AB79">
      <w:pPr>
        <w:spacing w:line="360" w:lineRule="auto"/>
        <w:ind w:left="420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067560" cy="1023620"/>
            <wp:effectExtent l="0" t="0" r="8890" b="5080"/>
            <wp:docPr id="100005" name="图片 100005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26B13">
      <w:pPr>
        <w:spacing w:line="360" w:lineRule="auto"/>
        <w:ind w:left="420"/>
        <w:jc w:val="left"/>
        <w:textAlignment w:val="center"/>
      </w:pPr>
      <w:r>
        <w:t>A．专利授权数量持续快速增长</w:t>
      </w:r>
      <w:r>
        <w:rPr>
          <w:rFonts w:hint="eastAsia"/>
        </w:rPr>
        <w:tab/>
      </w:r>
      <w:r>
        <w:t>B．制度创新与技术革命联动发展</w:t>
      </w:r>
    </w:p>
    <w:p w14:paraId="1D2E1EBD">
      <w:pPr>
        <w:spacing w:line="360" w:lineRule="auto"/>
        <w:ind w:left="420"/>
        <w:jc w:val="left"/>
        <w:textAlignment w:val="center"/>
      </w:pPr>
      <w:r>
        <w:t>C．垄断组织控制了海内外市场</w:t>
      </w:r>
      <w:r>
        <w:rPr>
          <w:rFonts w:hint="eastAsia"/>
        </w:rPr>
        <w:tab/>
      </w:r>
      <w:r>
        <w:t>D．科学技术与社会生产紧密结合</w:t>
      </w:r>
    </w:p>
    <w:p w14:paraId="60CB3FE2">
      <w:pPr>
        <w:spacing w:line="360" w:lineRule="auto"/>
        <w:ind w:left="420" w:hanging="420"/>
        <w:jc w:val="left"/>
        <w:textAlignment w:val="center"/>
      </w:pPr>
      <w:r>
        <w:t>15．下表所示为19世纪40年代末至60年代初马克思、恩格斯的部分著作及其主旨。这些著作的关注点是</w:t>
      </w:r>
    </w:p>
    <w:tbl>
      <w:tblPr>
        <w:tblStyle w:val="5"/>
        <w:tblW w:w="8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936"/>
        <w:gridCol w:w="2389"/>
      </w:tblGrid>
      <w:tr w14:paraId="5492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D1AE72">
            <w:pPr>
              <w:spacing w:line="288" w:lineRule="auto"/>
              <w:jc w:val="center"/>
              <w:textAlignment w:val="center"/>
            </w:pPr>
            <w:r>
              <w:t>著作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6A866F">
            <w:pPr>
              <w:spacing w:line="288" w:lineRule="auto"/>
              <w:jc w:val="center"/>
              <w:textAlignment w:val="center"/>
            </w:pPr>
            <w:r>
              <w:t>主旨</w:t>
            </w:r>
          </w:p>
        </w:tc>
      </w:tr>
      <w:tr w14:paraId="0323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FDCA3C">
            <w:pPr>
              <w:spacing w:line="288" w:lineRule="auto"/>
              <w:jc w:val="left"/>
              <w:textAlignment w:val="center"/>
            </w:pPr>
            <w:r>
              <w:t>《在土耳其的真正争论点》《土耳其问题》《欧洲土耳其前途如何？》《奇怪的政策》《伊奥尼亚群岛》等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DC4949">
            <w:pPr>
              <w:spacing w:line="288" w:lineRule="auto"/>
              <w:jc w:val="left"/>
              <w:textAlignment w:val="center"/>
            </w:pPr>
            <w:r>
              <w:t>批判维也纳公约及其建立的国际体系</w:t>
            </w:r>
          </w:p>
        </w:tc>
      </w:tr>
      <w:tr w14:paraId="2017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CA2083">
            <w:pPr>
              <w:spacing w:line="288" w:lineRule="auto"/>
              <w:jc w:val="left"/>
              <w:textAlignment w:val="center"/>
            </w:pPr>
            <w:r>
              <w:t>《关于瓜分土耳其的文件》《秘密的外交公文的往来》《帕麦斯顿勋爵辞职》《十八世纪外交史内幕》等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74BAA3">
            <w:pPr>
              <w:spacing w:line="288" w:lineRule="auto"/>
              <w:jc w:val="left"/>
              <w:textAlignment w:val="center"/>
            </w:pPr>
            <w:r>
              <w:t>谴责欧洲列强之间的背信弃义和秘密外交</w:t>
            </w:r>
          </w:p>
        </w:tc>
      </w:tr>
      <w:tr w14:paraId="4A2E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4512D6">
            <w:pPr>
              <w:spacing w:line="288" w:lineRule="auto"/>
              <w:jc w:val="left"/>
              <w:textAlignment w:val="center"/>
            </w:pPr>
            <w:r>
              <w:t>《中国革命和欧洲革命》《不列颠在印度统治的未来结果》《英中冲突》《对波斯的战争》等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E7EA71">
            <w:pPr>
              <w:spacing w:line="288" w:lineRule="auto"/>
              <w:jc w:val="left"/>
              <w:textAlignment w:val="center"/>
            </w:pPr>
            <w:r>
              <w:t>揭露欧洲列强的侵略行径</w:t>
            </w:r>
          </w:p>
        </w:tc>
      </w:tr>
    </w:tbl>
    <w:p w14:paraId="299185E0">
      <w:pPr>
        <w:spacing w:line="360" w:lineRule="auto"/>
        <w:ind w:left="420"/>
        <w:jc w:val="left"/>
        <w:textAlignment w:val="center"/>
      </w:pPr>
      <w:r>
        <w:t>A．殖民扩张冲击下的国际工人运动</w:t>
      </w:r>
      <w:r>
        <w:rPr>
          <w:rFonts w:hint="eastAsia"/>
        </w:rPr>
        <w:tab/>
      </w:r>
      <w:r>
        <w:t>B．无产阶级的联合与革命道路的探索</w:t>
      </w:r>
    </w:p>
    <w:p w14:paraId="0DD5C42C">
      <w:pPr>
        <w:spacing w:line="360" w:lineRule="auto"/>
        <w:ind w:left="420"/>
        <w:jc w:val="left"/>
        <w:textAlignment w:val="center"/>
      </w:pPr>
      <w:r>
        <w:t>C．国际法视域下对列强行为的批判</w:t>
      </w:r>
      <w:r>
        <w:rPr>
          <w:rFonts w:hint="eastAsia"/>
        </w:rPr>
        <w:tab/>
      </w:r>
      <w:r>
        <w:t>D．维也纳体系的霸权本质与殖民行径</w:t>
      </w:r>
    </w:p>
    <w:p w14:paraId="06208BB7">
      <w:pPr>
        <w:spacing w:line="360" w:lineRule="auto"/>
        <w:ind w:left="420" w:hanging="420"/>
        <w:jc w:val="left"/>
        <w:textAlignment w:val="center"/>
      </w:pPr>
      <w:r>
        <w:t>16．有学者指出：“维也纳体系、凡尔赛—华盛顿体系、雅尔塔体系，它们在设计之初，都试图以制度、均势与磋商避免新的战争。但这些以大国利益为核心的战后秩序，带有强权色彩，追求和平却未能真正消除战争根源。”该学者强调（</w:t>
      </w:r>
      <w:r>
        <w:rPr>
          <w:rFonts w:eastAsia="Times New Roman"/>
          <w:kern w:val="0"/>
          <w:sz w:val="24"/>
          <w:szCs w:val="24"/>
        </w:rPr>
        <w:t xml:space="preserve">    </w:t>
      </w:r>
      <w:r>
        <w:t>）</w:t>
      </w:r>
    </w:p>
    <w:p w14:paraId="3EBD228F">
      <w:pPr>
        <w:spacing w:line="360" w:lineRule="auto"/>
        <w:ind w:left="420"/>
        <w:jc w:val="left"/>
        <w:textAlignment w:val="center"/>
      </w:pPr>
      <w:r>
        <w:t>A．大国均势是实现和平的唯一有效途径</w:t>
      </w:r>
      <w:r>
        <w:rPr>
          <w:rFonts w:hint="eastAsia"/>
        </w:rPr>
        <w:tab/>
      </w:r>
      <w:r>
        <w:t>B．传统国际体系带有理想与局限的双重色彩</w:t>
      </w:r>
    </w:p>
    <w:p w14:paraId="1C316979">
      <w:pPr>
        <w:spacing w:line="360" w:lineRule="auto"/>
        <w:ind w:left="420"/>
        <w:jc w:val="left"/>
        <w:textAlignment w:val="center"/>
      </w:pPr>
      <w:r>
        <w:t>C．国际体系均以维护世界和平为出发点</w:t>
      </w:r>
      <w:r>
        <w:rPr>
          <w:rFonts w:hint="eastAsia"/>
        </w:rPr>
        <w:tab/>
      </w:r>
      <w:r>
        <w:t>D．强权政治导致无法从根本上消除战争根源</w:t>
      </w:r>
    </w:p>
    <w:p w14:paraId="20E5F521">
      <w:pPr>
        <w:spacing w:line="360" w:lineRule="auto"/>
        <w:ind w:left="420" w:hanging="420"/>
        <w:jc w:val="left"/>
        <w:textAlignment w:val="center"/>
      </w:pPr>
      <w:r>
        <w:t>17．2015-2024年，全球数字服务贸易连续10年保持韧性增长，在服务贸易中的占比已达53．4%。同时，数字经贸规则的重要性也日益凸显，截至2025年9月，全球共138个自由贸易协定中含数字领域相关规则，覆盖超110个国家，约占现有自贸协定总数的37%。这说明当今世界（</w:t>
      </w:r>
      <w:r>
        <w:rPr>
          <w:rFonts w:eastAsia="Times New Roman"/>
          <w:kern w:val="0"/>
          <w:sz w:val="24"/>
          <w:szCs w:val="24"/>
        </w:rPr>
        <w:t xml:space="preserve">    </w:t>
      </w:r>
      <w:r>
        <w:t>）</w:t>
      </w:r>
    </w:p>
    <w:p w14:paraId="15539B65">
      <w:pPr>
        <w:spacing w:line="360" w:lineRule="auto"/>
        <w:ind w:left="420"/>
        <w:jc w:val="left"/>
        <w:textAlignment w:val="center"/>
      </w:pPr>
      <w:r>
        <w:t>A．发达国家在全球经济中的优势地位被削弱</w:t>
      </w:r>
      <w:r>
        <w:rPr>
          <w:rFonts w:hint="eastAsia"/>
        </w:rPr>
        <w:tab/>
      </w:r>
      <w:r>
        <w:t>B．国际产业转移呈现新趋势</w:t>
      </w:r>
    </w:p>
    <w:p w14:paraId="78A91DC2">
      <w:pPr>
        <w:spacing w:line="360" w:lineRule="auto"/>
        <w:ind w:left="420"/>
        <w:jc w:val="left"/>
        <w:textAlignment w:val="center"/>
      </w:pPr>
      <w:r>
        <w:t>C．信息技术助推全球贸易形态发生显著变革</w:t>
      </w:r>
      <w:r>
        <w:rPr>
          <w:rFonts w:hint="eastAsia"/>
        </w:rPr>
        <w:tab/>
      </w:r>
      <w:r>
        <w:t>D．服务业重塑全球经济格局</w:t>
      </w:r>
    </w:p>
    <w:p w14:paraId="5DB86CD2">
      <w:pPr>
        <w:shd w:val="clear" w:color="auto" w:fill="FFFFFF"/>
        <w:spacing w:line="360" w:lineRule="auto"/>
        <w:ind w:left="420"/>
        <w:jc w:val="center"/>
        <w:textAlignment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非选择题部分</w:t>
      </w:r>
    </w:p>
    <w:p w14:paraId="42C28712">
      <w:pPr>
        <w:spacing w:line="360" w:lineRule="auto"/>
        <w:rPr>
          <w:rFonts w:ascii="宋体" w:hAnsi="宋体"/>
          <w:b/>
          <w:bCs/>
          <w:color w:val="000000"/>
        </w:rPr>
      </w:pPr>
      <w:r>
        <w:rPr>
          <w:rFonts w:ascii="宋体" w:hAnsi="宋体"/>
          <w:b/>
          <w:bCs/>
          <w:color w:val="000000"/>
        </w:rPr>
        <w:t>三、非选择题（本大题共4小题，其中第</w:t>
      </w:r>
      <w:r>
        <w:rPr>
          <w:rFonts w:hint="eastAsia" w:ascii="宋体" w:hAnsi="宋体"/>
          <w:b/>
          <w:bCs/>
          <w:color w:val="000000"/>
        </w:rPr>
        <w:t>18</w:t>
      </w:r>
      <w:r>
        <w:rPr>
          <w:rFonts w:ascii="宋体" w:hAnsi="宋体"/>
          <w:b/>
          <w:bCs/>
          <w:color w:val="000000"/>
        </w:rPr>
        <w:t>题</w:t>
      </w:r>
      <w:r>
        <w:rPr>
          <w:rFonts w:hint="eastAsia" w:ascii="宋体" w:hAnsi="宋体"/>
          <w:b/>
          <w:bCs/>
          <w:color w:val="000000"/>
        </w:rPr>
        <w:t>16</w:t>
      </w:r>
      <w:r>
        <w:rPr>
          <w:rFonts w:ascii="宋体" w:hAnsi="宋体"/>
          <w:b/>
          <w:bCs/>
          <w:color w:val="000000"/>
        </w:rPr>
        <w:t>分，第</w:t>
      </w:r>
      <w:r>
        <w:rPr>
          <w:rFonts w:hint="eastAsia" w:ascii="宋体" w:hAnsi="宋体"/>
          <w:b/>
          <w:bCs/>
          <w:color w:val="000000"/>
        </w:rPr>
        <w:t>19</w:t>
      </w:r>
      <w:r>
        <w:rPr>
          <w:rFonts w:ascii="宋体" w:hAnsi="宋体"/>
          <w:b/>
          <w:bCs/>
          <w:color w:val="000000"/>
        </w:rPr>
        <w:t>题</w:t>
      </w:r>
      <w:r>
        <w:rPr>
          <w:rFonts w:hint="eastAsia" w:ascii="宋体" w:hAnsi="宋体"/>
          <w:b/>
          <w:bCs/>
          <w:color w:val="000000"/>
        </w:rPr>
        <w:t>10</w:t>
      </w:r>
      <w:r>
        <w:rPr>
          <w:rFonts w:ascii="宋体" w:hAnsi="宋体"/>
          <w:b/>
          <w:bCs/>
          <w:color w:val="000000"/>
        </w:rPr>
        <w:t>分，</w:t>
      </w:r>
      <w:r>
        <w:rPr>
          <w:rFonts w:hint="eastAsia" w:ascii="宋体" w:hAnsi="宋体"/>
          <w:b/>
          <w:bCs/>
          <w:color w:val="000000"/>
        </w:rPr>
        <w:t>第20题16分，第21题1</w:t>
      </w:r>
      <w:r>
        <w:rPr>
          <w:rFonts w:ascii="宋体" w:hAnsi="宋体"/>
          <w:b/>
          <w:bCs/>
          <w:color w:val="000000"/>
        </w:rPr>
        <w:t>2</w:t>
      </w:r>
      <w:r>
        <w:rPr>
          <w:rFonts w:hint="eastAsia" w:ascii="宋体" w:hAnsi="宋体"/>
          <w:b/>
          <w:bCs/>
          <w:color w:val="000000"/>
        </w:rPr>
        <w:t>分，</w:t>
      </w:r>
      <w:r>
        <w:rPr>
          <w:rFonts w:ascii="宋体" w:hAnsi="宋体"/>
          <w:b/>
          <w:bCs/>
          <w:color w:val="000000"/>
        </w:rPr>
        <w:t>共5</w:t>
      </w:r>
      <w:r>
        <w:rPr>
          <w:rFonts w:hint="eastAsia" w:ascii="宋体" w:hAnsi="宋体"/>
          <w:b/>
          <w:bCs/>
          <w:color w:val="000000"/>
        </w:rPr>
        <w:t>4</w:t>
      </w:r>
      <w:r>
        <w:rPr>
          <w:rFonts w:ascii="宋体" w:hAnsi="宋体"/>
          <w:b/>
          <w:bCs/>
          <w:color w:val="000000"/>
        </w:rPr>
        <w:t>分）</w:t>
      </w:r>
      <w:r>
        <w:rPr>
          <w:rFonts w:hint="eastAsia" w:ascii="宋体" w:hAnsi="宋体"/>
          <w:b/>
          <w:bCs/>
          <w:color w:val="000000"/>
        </w:rPr>
        <w:t>。</w:t>
      </w:r>
    </w:p>
    <w:p w14:paraId="7F8FA8EC">
      <w:pPr>
        <w:spacing w:line="360" w:lineRule="auto"/>
        <w:ind w:left="420" w:hanging="420"/>
        <w:jc w:val="left"/>
        <w:textAlignment w:val="center"/>
      </w:pPr>
      <w:r>
        <w:t>18．阅读材料，完成下列要求。</w:t>
      </w:r>
      <w:r>
        <w:rPr>
          <w:rFonts w:hint="eastAsia"/>
        </w:rPr>
        <w:t>（16分）</w:t>
      </w:r>
    </w:p>
    <w:p w14:paraId="61417736">
      <w:pPr>
        <w:spacing w:line="360" w:lineRule="auto"/>
        <w:ind w:left="420"/>
        <w:jc w:val="lef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材料一</w:t>
      </w:r>
      <w:r>
        <w:rPr>
          <w:rFonts w:ascii="楷体" w:hAnsi="楷体" w:eastAsia="楷体"/>
          <w:kern w:val="0"/>
          <w:sz w:val="24"/>
          <w:szCs w:val="24"/>
        </w:rPr>
        <w:t xml:space="preserve">   </w:t>
      </w:r>
      <w:r>
        <w:rPr>
          <w:rFonts w:ascii="楷体" w:hAnsi="楷体" w:eastAsia="楷体" w:cs="楷体"/>
        </w:rPr>
        <w:t>秦汉时期，在西南夷和百越地区设置郡县，并推行“以其故俗治”的政策，任用当地部族首领为地方官吏。唐朝在边疆地区普遍设立羁縻府州，任命各族首领为都督、刺史，官职世袭，不纳赋税，仅向朝廷进贡方物。明朝在西南少数民族地区实行土司制度，土官由中央任命，可世袭，但需承担征调兵员、缴纳贡赋等义务。清朝雍正年间在西南地区大规模推行“改土归流”，废除土司，改设流官管理。</w:t>
      </w:r>
    </w:p>
    <w:p w14:paraId="4FA58FB3">
      <w:pPr>
        <w:spacing w:line="360" w:lineRule="auto"/>
        <w:ind w:left="420"/>
        <w:jc w:val="righ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——摘编自马大正《中国边疆经略史》</w:t>
      </w:r>
    </w:p>
    <w:p w14:paraId="18DEDACC">
      <w:pPr>
        <w:spacing w:line="360" w:lineRule="auto"/>
        <w:ind w:left="420"/>
        <w:jc w:val="lef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材料二</w:t>
      </w:r>
      <w:r>
        <w:rPr>
          <w:rFonts w:ascii="楷体" w:hAnsi="楷体" w:eastAsia="楷体"/>
          <w:kern w:val="0"/>
          <w:sz w:val="24"/>
          <w:szCs w:val="24"/>
        </w:rPr>
        <w:t xml:space="preserve">   </w:t>
      </w:r>
      <w:r>
        <w:rPr>
          <w:rFonts w:ascii="楷体" w:hAnsi="楷体" w:eastAsia="楷体"/>
        </w:rPr>
        <w:t>1954</w:t>
      </w:r>
      <w:r>
        <w:rPr>
          <w:rFonts w:ascii="楷体" w:hAnsi="楷体" w:eastAsia="楷体" w:cs="楷体"/>
        </w:rPr>
        <w:t>年《中华人民共和国宪法》规定：“各少数民族聚居的地方实行区域自治。各民族自治地方都是中华人民共和国不可分离的部分。”</w:t>
      </w:r>
      <w:r>
        <w:rPr>
          <w:rFonts w:ascii="楷体" w:hAnsi="楷体" w:eastAsia="楷体"/>
        </w:rPr>
        <w:t>1984</w:t>
      </w:r>
      <w:r>
        <w:rPr>
          <w:rFonts w:ascii="楷体" w:hAnsi="楷体" w:eastAsia="楷体" w:cs="楷体"/>
        </w:rPr>
        <w:t>年，《中华人民共和国民族区域自治法》颁布实施，以基本法律的形式将民族区域自治制度固定下来。国家在基础设施建设、财政转移支付、教育文化扶持等方面对民族地区给予重点倾斜。党的十八大以来，强调要“铸牢中华民族共同体意识”，促进各民族交往交流交融，共同团结奋斗、共同繁荣发展。</w:t>
      </w:r>
    </w:p>
    <w:p w14:paraId="7CB7700E">
      <w:pPr>
        <w:spacing w:line="360" w:lineRule="auto"/>
        <w:ind w:left="420"/>
        <w:jc w:val="righ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——摘编自《中国的民族政策与各民族共同繁荣发展》白皮书</w:t>
      </w:r>
    </w:p>
    <w:p w14:paraId="4E896920">
      <w:pPr>
        <w:spacing w:line="360" w:lineRule="auto"/>
        <w:ind w:left="420"/>
        <w:jc w:val="left"/>
        <w:textAlignment w:val="center"/>
      </w:pPr>
      <w:r>
        <w:t>（1）根据材料一并结合所学知识，概括中国古代治理边疆民族地区政策的特点，并分析其历史作用。</w:t>
      </w:r>
      <w:r>
        <w:rPr>
          <w:rFonts w:hint="eastAsia"/>
        </w:rPr>
        <w:t>（8分）</w:t>
      </w:r>
    </w:p>
    <w:p w14:paraId="7FAC693E">
      <w:pPr>
        <w:spacing w:line="360" w:lineRule="auto"/>
        <w:ind w:left="420"/>
        <w:jc w:val="left"/>
        <w:textAlignment w:val="center"/>
      </w:pPr>
      <w:r>
        <w:t>（2）根据材料二并结合所学知识，指出新中国民族区域自治制度与古代边疆治理政策的本质区别，并简述其实施的意义。</w:t>
      </w:r>
      <w:r>
        <w:rPr>
          <w:rFonts w:hint="eastAsia"/>
        </w:rPr>
        <w:t>（8分）</w:t>
      </w:r>
    </w:p>
    <w:p w14:paraId="27753DD9">
      <w:pPr>
        <w:spacing w:line="360" w:lineRule="auto"/>
        <w:ind w:left="420" w:hanging="420"/>
        <w:jc w:val="left"/>
        <w:textAlignment w:val="center"/>
      </w:pPr>
      <w:r>
        <w:t>19．阅读材料，回答问题。</w:t>
      </w:r>
      <w:r>
        <w:rPr>
          <w:rFonts w:hint="eastAsia"/>
        </w:rPr>
        <w:t>（10分）</w:t>
      </w:r>
    </w:p>
    <w:p w14:paraId="5EC96684">
      <w:pPr>
        <w:spacing w:line="360" w:lineRule="auto"/>
        <w:ind w:left="420"/>
        <w:jc w:val="lef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材料</w:t>
      </w:r>
      <w:r>
        <w:rPr>
          <w:rFonts w:ascii="楷体" w:hAnsi="楷体" w:eastAsia="楷体"/>
          <w:kern w:val="0"/>
          <w:sz w:val="24"/>
          <w:szCs w:val="24"/>
        </w:rPr>
        <w:t xml:space="preserve">   </w:t>
      </w:r>
      <w:r>
        <w:rPr>
          <w:rFonts w:ascii="楷体" w:hAnsi="楷体" w:eastAsia="楷体" w:cs="楷体"/>
        </w:rPr>
        <w:t>19世纪中期以前，英国邮政长期为政府垄断，邮资高昂。一封普通信件邮资最高达17便士，民众常因无力支付而拒收信件。1840年，英国在罗兰·希尔推动下实施“统一便士邮政”改革，规定根据信件的重量来收取邮资，一般信件只需1便士，结束了按距离阶梯收费的旧制度。与此同时，英国发行邮票以预付邮资；使用铁路运输邮件；邮政支局数量不断增加。</w:t>
      </w:r>
    </w:p>
    <w:p w14:paraId="66965E90">
      <w:pPr>
        <w:spacing w:line="360" w:lineRule="auto"/>
        <w:ind w:left="420"/>
        <w:jc w:val="lef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改革后，英国信件量从1839年的7600万件猛增至1850年的3．47亿件。此后数十年，邮政服务不断扩展：书籍邮递、邮政储蓄银行、电报国有化、明信片、包裹邮递等服务逐步建立，形成覆盖城乡乃至殖民地的邮政网络。民众在咖啡馆、酒馆中阅读讨论报刊，参与公共事务。殖民地与本土之间的书信、食品、衣物、建筑样式乃至生活习俗也经由邮政网络相互影响。</w:t>
      </w:r>
    </w:p>
    <w:p w14:paraId="15C19D40">
      <w:pPr>
        <w:spacing w:line="360" w:lineRule="auto"/>
        <w:ind w:left="420"/>
        <w:jc w:val="righ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——摘编自李迎运《邮政繁荣与英国国家认同（1840-1914）》</w:t>
      </w:r>
    </w:p>
    <w:p w14:paraId="248E282F">
      <w:pPr>
        <w:spacing w:line="360" w:lineRule="auto"/>
        <w:ind w:left="420"/>
        <w:jc w:val="left"/>
        <w:textAlignment w:val="center"/>
      </w:pPr>
      <w:r>
        <w:t>根据材料并结合所学知识，评析19世纪中期英国的邮政改革。</w:t>
      </w:r>
    </w:p>
    <w:p w14:paraId="32EEF031">
      <w:pPr>
        <w:spacing w:line="360" w:lineRule="auto"/>
        <w:ind w:left="420" w:hanging="420"/>
        <w:jc w:val="left"/>
        <w:textAlignment w:val="center"/>
      </w:pPr>
      <w:r>
        <w:t>20．阅读材料，回答问题。</w:t>
      </w:r>
      <w:r>
        <w:rPr>
          <w:rFonts w:hint="eastAsia"/>
        </w:rPr>
        <w:t>（16分）</w:t>
      </w:r>
    </w:p>
    <w:p w14:paraId="2B0F2F4E">
      <w:pPr>
        <w:spacing w:line="360" w:lineRule="auto"/>
        <w:ind w:left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材料一</w:t>
      </w:r>
      <w:r>
        <w:rPr>
          <w:rFonts w:ascii="楷体" w:hAnsi="楷体" w:eastAsia="楷体"/>
          <w:kern w:val="0"/>
          <w:sz w:val="24"/>
          <w:szCs w:val="24"/>
        </w:rPr>
        <w:t xml:space="preserve">   </w:t>
      </w:r>
      <w:r>
        <w:rPr>
          <w:rFonts w:ascii="楷体" w:hAnsi="楷体" w:eastAsia="楷体" w:cs="楷体"/>
        </w:rPr>
        <w:t>明代成都的蜀锦生产虽名传天下，但仅存于蜀王府而“闾阎不存”。且蜀锦“不可以衣服，仅充茵褥之用，只王宫可，非民间所宜也”。保宁地区虽“有丝绫文锦之饶”，但输出总量并不很大。实际上，明代四川民间制衣所用丝织品多取之于江南，商人携数千金购苏杭绫罗绸缎运销四川之事颇见于小说。位于川西金沙江林区的建昌卫，因有大量木材顺江而下输往江南，故“虽僻远万里，然苏杭种种文绮，吴中贵介未披而彼处先得”。</w:t>
      </w:r>
    </w:p>
    <w:p w14:paraId="4A31E40B">
      <w:pPr>
        <w:spacing w:line="360" w:lineRule="auto"/>
        <w:ind w:left="420"/>
        <w:jc w:val="righ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——摘编自李伯重《明清江南生丝与丝织品的国内外市场及其变化》</w:t>
      </w:r>
    </w:p>
    <w:p w14:paraId="65D3EBA6">
      <w:pPr>
        <w:spacing w:line="360" w:lineRule="auto"/>
        <w:ind w:left="420"/>
        <w:jc w:val="lef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材料</w:t>
      </w:r>
      <w:r>
        <w:rPr>
          <w:rFonts w:hint="eastAsia" w:ascii="楷体" w:hAnsi="楷体" w:eastAsia="楷体" w:cs="楷体"/>
        </w:rPr>
        <w:t>二</w:t>
      </w:r>
      <w:r>
        <w:rPr>
          <w:rFonts w:ascii="楷体" w:hAnsi="楷体" w:eastAsia="楷体"/>
          <w:kern w:val="0"/>
          <w:sz w:val="24"/>
          <w:szCs w:val="24"/>
        </w:rPr>
        <w:t xml:space="preserve">   </w:t>
      </w:r>
      <w:r>
        <w:rPr>
          <w:rFonts w:ascii="楷体" w:hAnsi="楷体" w:eastAsia="楷体" w:cs="楷体"/>
        </w:rPr>
        <w:t>1984年5月，湖南益阳县兰溪乡成立兰溪纺织联营厂，这是湖南省首批乡镇企业之一。该厂依托本地棉花资源，采取“乡办+户办”模式：乡政府提供厂房与启动资金，农户以缝纫机入股，产品由乡供销社统一收购销往广州、武汉。1985年，益阳县委出台的《扶持乡镇企业暂行办法》规定：“乡镇企业免征3年工商所得税，优先获得银行贷款。”1988年兰溪纺织联营厂产值达1200万元，带动周边320户农户从事纺织加工，户均年增收2800元。</w:t>
      </w:r>
    </w:p>
    <w:p w14:paraId="107B27AB">
      <w:pPr>
        <w:spacing w:line="360" w:lineRule="auto"/>
        <w:ind w:left="420"/>
        <w:jc w:val="righ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——据益阳县乡镇企业局《1984——1988年工作档案》等整理</w:t>
      </w:r>
    </w:p>
    <w:p w14:paraId="0748F47D">
      <w:pPr>
        <w:spacing w:line="360" w:lineRule="auto"/>
        <w:ind w:left="420"/>
        <w:jc w:val="left"/>
        <w:textAlignment w:val="center"/>
      </w:pPr>
      <w:r>
        <w:t>（1）根据材料</w:t>
      </w:r>
      <w:r>
        <w:rPr>
          <w:rFonts w:hint="eastAsia"/>
        </w:rPr>
        <w:t>一</w:t>
      </w:r>
      <w:r>
        <w:t>并结合所学知识，说明四川制衣所用丝织品多取之于江南的原因。</w:t>
      </w:r>
      <w:r>
        <w:rPr>
          <w:rFonts w:hint="eastAsia"/>
        </w:rPr>
        <w:t>（8分）</w:t>
      </w:r>
    </w:p>
    <w:p w14:paraId="2D1F23DE">
      <w:pPr>
        <w:spacing w:line="360" w:lineRule="auto"/>
        <w:ind w:left="420"/>
        <w:jc w:val="left"/>
        <w:textAlignment w:val="center"/>
      </w:pPr>
      <w:r>
        <w:t>（</w:t>
      </w:r>
      <w:r>
        <w:rPr>
          <w:rFonts w:hint="eastAsia"/>
        </w:rPr>
        <w:t>2</w:t>
      </w:r>
      <w:r>
        <w:t>）根据材料</w:t>
      </w:r>
      <w:r>
        <w:rPr>
          <w:rFonts w:hint="eastAsia"/>
        </w:rPr>
        <w:t>二</w:t>
      </w:r>
      <w:r>
        <w:t>，归纳20世纪80年代益阳县发展乡镇纺织业的举措，并结合所学知识分析乡镇纺织企业发展对农村的意义。</w:t>
      </w:r>
      <w:r>
        <w:rPr>
          <w:rFonts w:hint="eastAsia"/>
        </w:rPr>
        <w:t>（8分）</w:t>
      </w:r>
    </w:p>
    <w:p w14:paraId="25123410">
      <w:pPr>
        <w:spacing w:line="360" w:lineRule="auto"/>
        <w:ind w:left="420" w:hanging="420"/>
        <w:jc w:val="left"/>
        <w:textAlignment w:val="center"/>
      </w:pPr>
      <w:r>
        <w:t>21．阅读材料，完成下列要求。</w:t>
      </w:r>
      <w:r>
        <w:rPr>
          <w:rFonts w:hint="eastAsia"/>
        </w:rPr>
        <w:t>（12分）</w:t>
      </w:r>
    </w:p>
    <w:p w14:paraId="2E4D52BD">
      <w:pPr>
        <w:spacing w:line="360" w:lineRule="auto"/>
        <w:ind w:left="420"/>
        <w:jc w:val="lef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材料</w:t>
      </w:r>
      <w:r>
        <w:rPr>
          <w:rFonts w:ascii="楷体" w:hAnsi="楷体" w:eastAsia="楷体"/>
          <w:kern w:val="0"/>
          <w:sz w:val="24"/>
          <w:szCs w:val="24"/>
        </w:rPr>
        <w:t xml:space="preserve">   </w:t>
      </w:r>
      <w:r>
        <w:rPr>
          <w:rFonts w:ascii="楷体" w:hAnsi="楷体" w:eastAsia="楷体" w:cs="楷体"/>
        </w:rPr>
        <w:t>纵观世界历史，存在两条核心主线：横线是从分散到整体的运动趋势，终结为人类命运的共同体；纵线是从低级到高级的社会发展，文明在发展中持续升华。两条主线交织互动、相互推动，构成了历史运动的真实图景。马克思“世界历史”思想辩证揭示了这一规律，既指出人类社会从低级向高级的阶段性演进，也明确“历史向世界历史转变”的必然趋势。</w:t>
      </w:r>
    </w:p>
    <w:p w14:paraId="3DD7C1C8">
      <w:pPr>
        <w:spacing w:line="360" w:lineRule="auto"/>
        <w:ind w:left="420"/>
        <w:jc w:val="righ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——摘自钱乘旦主编《新世界史纲要》</w:t>
      </w:r>
    </w:p>
    <w:p w14:paraId="52B428A9">
      <w:pPr>
        <w:spacing w:line="360" w:lineRule="auto"/>
        <w:ind w:left="420"/>
        <w:jc w:val="left"/>
        <w:textAlignment w:val="center"/>
      </w:pPr>
      <w:r>
        <w:t>结合材料与世界近现代史相关知识，围绕世界历史的两条核心主线自拟论题，并加以阐述。（要求：论题明确，史实准确，史论结合，逻辑清晰。）</w:t>
      </w:r>
    </w:p>
    <w:sectPr>
      <w:headerReference r:id="rId3" w:type="default"/>
      <w:footerReference r:id="rId4" w:type="default"/>
      <w:footerReference r:id="rId5" w:type="even"/>
      <w:pgSz w:w="11907" w:h="16839"/>
      <w:pgMar w:top="1440" w:right="1083" w:bottom="1440" w:left="1083" w:header="851" w:footer="992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EAC38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 xml:space="preserve">PAGE</w:instrText>
    </w:r>
    <w:r>
      <w:rPr>
        <w:rFonts w:eastAsia="Times New Roman"/>
      </w:rPr>
      <w:fldChar w:fldCharType="separate"/>
    </w:r>
    <w:r>
      <w:rPr>
        <w:rFonts w:eastAsia="Times New Roman"/>
      </w:rPr>
      <w:t>1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 xml:space="preserve">NUMPAGES</w:instrText>
    </w:r>
    <w:r>
      <w:rPr>
        <w:rFonts w:eastAsia="Times New Roman"/>
      </w:rPr>
      <w:fldChar w:fldCharType="separate"/>
    </w:r>
    <w:r>
      <w:rPr>
        <w:rFonts w:eastAsia="Times New Roman"/>
      </w:rPr>
      <w:t>15</w:t>
    </w:r>
    <w:r>
      <w:rPr>
        <w:rFonts w:eastAsia="Times New Roman"/>
      </w:rPr>
      <w:fldChar w:fldCharType="end"/>
    </w:r>
  </w:p>
  <w:p w14:paraId="23EDBAE7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3B911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16</w:instrText>
    </w:r>
    <w:r>
      <w:fldChar w:fldCharType="end"/>
    </w:r>
    <w:r>
      <w:instrText xml:space="preserve"> </w:instrText>
    </w:r>
    <w:r>
      <w:fldChar w:fldCharType="separate"/>
    </w:r>
    <w:r>
      <w:t>16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18</w:instrText>
    </w:r>
    <w:r>
      <w:fldChar w:fldCharType="end"/>
    </w:r>
    <w:r>
      <w:instrText xml:space="preserve"> </w:instrText>
    </w:r>
    <w:r>
      <w:fldChar w:fldCharType="separate"/>
    </w:r>
    <w:r>
      <w:t>18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43BE2"/>
  <w:p w14:paraId="4807ED8A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2307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3055A0"/>
    <w:rsid w:val="00353C09"/>
    <w:rsid w:val="00387582"/>
    <w:rsid w:val="004151FC"/>
    <w:rsid w:val="004E46D8"/>
    <w:rsid w:val="00537201"/>
    <w:rsid w:val="005456C6"/>
    <w:rsid w:val="006A4C40"/>
    <w:rsid w:val="006B16C5"/>
    <w:rsid w:val="00715089"/>
    <w:rsid w:val="00776133"/>
    <w:rsid w:val="00811C76"/>
    <w:rsid w:val="00855687"/>
    <w:rsid w:val="008C07DE"/>
    <w:rsid w:val="00A30CCE"/>
    <w:rsid w:val="00AC3E9C"/>
    <w:rsid w:val="00BC2225"/>
    <w:rsid w:val="00BC4F14"/>
    <w:rsid w:val="00BC62FB"/>
    <w:rsid w:val="00BF535F"/>
    <w:rsid w:val="00C02FC6"/>
    <w:rsid w:val="00C51C89"/>
    <w:rsid w:val="00C806B0"/>
    <w:rsid w:val="00D04640"/>
    <w:rsid w:val="00D70DFE"/>
    <w:rsid w:val="00E476EE"/>
    <w:rsid w:val="00EF035E"/>
    <w:rsid w:val="00F16B29"/>
    <w:rsid w:val="00F91E4D"/>
    <w:rsid w:val="5B0F1F59"/>
    <w:rsid w:val="68A0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64B5A-073A-450C-92AF-8CEEA5CF80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5032</Words>
  <Characters>5200</Characters>
  <Lines>114</Lines>
  <Paragraphs>32</Paragraphs>
  <TotalTime>16</TotalTime>
  <ScaleCrop>false</ScaleCrop>
  <LinksUpToDate>false</LinksUpToDate>
  <CharactersWithSpaces>5323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2026-04-22T08:22:00Z</dcterms:created>
  <dc:creator>WSJ</dc:creator>
  <dc:description>原创精品资源学科网独家享有版权，侵权必究！</dc:description>
  <cp:lastModifiedBy>独秀山</cp:lastModifiedBy>
  <dcterms:modified xsi:type="dcterms:W3CDTF">2026-05-26T02:37:09Z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eyJoZGlkIjoiZWZiNmNkMTdjMGEwMTkxM2MzNzRlMDgyMWY5MzA4ZGIiLCJ1c2VySWQiOiIxMjY2NDk1MTc2In0=</vt:lpwstr>
  </property>
  <property fmtid="{D5CDD505-2E9C-101B-9397-08002B2CF9AE}" pid="7" name="KSOProductBuildVer">
    <vt:lpwstr>2052-12.1.0.26375</vt:lpwstr>
  </property>
  <property fmtid="{D5CDD505-2E9C-101B-9397-08002B2CF9AE}" pid="8" name="ICV">
    <vt:lpwstr>A7DF4128D4C946208F7895865EE586A6_12</vt:lpwstr>
  </property>
</Properties>
</file>