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C57B">
      <w:pPr>
        <w:widowControl/>
        <w:spacing w:line="360" w:lineRule="auto"/>
        <w:ind w:left="315"/>
        <w:jc w:val="center"/>
        <w:textAlignment w:val="center"/>
        <w:rPr>
          <w:rFonts w:eastAsia="黑体"/>
          <w:color w:val="000000" w:themeColor="text1"/>
          <w:sz w:val="36"/>
          <w:szCs w:val="36"/>
          <w14:textFill>
            <w14:solidFill>
              <w14:schemeClr w14:val="tx1"/>
            </w14:solidFill>
          </w14:textFill>
        </w:rPr>
      </w:pPr>
      <w:bookmarkStart w:id="0" w:name="_GoBack"/>
      <w:bookmarkEnd w:id="0"/>
      <w:r>
        <w:rPr>
          <w:rFonts w:eastAsia="黑体"/>
          <w:color w:val="000000" w:themeColor="text1"/>
          <w:sz w:val="36"/>
          <w:szCs w:val="36"/>
          <w14:textFill>
            <w14:solidFill>
              <w14:schemeClr w14:val="tx1"/>
            </w14:solidFill>
          </w14:textFill>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12433300</wp:posOffset>
            </wp:positionV>
            <wp:extent cx="495300" cy="4572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7"/>
                    <a:stretch>
                      <a:fillRect/>
                    </a:stretch>
                  </pic:blipFill>
                  <pic:spPr>
                    <a:xfrm>
                      <a:off x="0" y="0"/>
                      <a:ext cx="495300" cy="457200"/>
                    </a:xfrm>
                    <a:prstGeom prst="rect">
                      <a:avLst/>
                    </a:prstGeom>
                  </pic:spPr>
                </pic:pic>
              </a:graphicData>
            </a:graphic>
          </wp:anchor>
        </w:drawing>
      </w:r>
      <w:r>
        <w:rPr>
          <w:rFonts w:eastAsia="黑体"/>
          <w:color w:val="000000" w:themeColor="text1"/>
          <w:sz w:val="36"/>
          <w:szCs w:val="36"/>
          <w14:textFill>
            <w14:solidFill>
              <w14:schemeClr w14:val="tx1"/>
            </w14:solidFill>
          </w14:textFill>
        </w:rPr>
        <w:t>2026年高考考前最后一卷（浙江专用）</w:t>
      </w:r>
    </w:p>
    <w:p w14:paraId="1E25D8AC">
      <w:pPr>
        <w:tabs>
          <w:tab w:val="left" w:pos="2551"/>
          <w:tab w:val="left" w:pos="4677"/>
          <w:tab w:val="left" w:pos="6803"/>
        </w:tabs>
        <w:spacing w:line="360" w:lineRule="auto"/>
        <w:ind w:left="315"/>
        <w:jc w:val="center"/>
        <w:textAlignment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历史</w:t>
      </w:r>
      <w:r>
        <w:rPr>
          <w:rFonts w:eastAsia="黑体"/>
          <w:color w:val="000000" w:themeColor="text1"/>
          <w:sz w:val="30"/>
          <w14:textFill>
            <w14:solidFill>
              <w14:schemeClr w14:val="tx1"/>
            </w14:solidFill>
          </w14:textFill>
        </w:rPr>
        <w:t>·答案及评分标准</w:t>
      </w:r>
    </w:p>
    <w:p w14:paraId="1435584D">
      <w:pPr>
        <w:overflowPunct w:val="0"/>
        <w:adjustRightInd w:val="0"/>
        <w:spacing w:line="360" w:lineRule="auto"/>
        <w:textAlignment w:val="center"/>
        <w:rPr>
          <w:color w:val="000000" w:themeColor="text1"/>
          <w:kern w:val="0"/>
          <w:szCs w:val="21"/>
          <w14:textFill>
            <w14:solidFill>
              <w14:schemeClr w14:val="tx1"/>
            </w14:solidFill>
          </w14:textFill>
        </w:rPr>
      </w:pPr>
      <w:r>
        <w:rPr>
          <w:rFonts w:eastAsia="黑体"/>
          <w:color w:val="000000" w:themeColor="text1"/>
          <w:spacing w:val="2"/>
          <w:szCs w:val="21"/>
          <w14:textFill>
            <w14:solidFill>
              <w14:schemeClr w14:val="tx1"/>
            </w14:solidFill>
          </w14:textFill>
        </w:rPr>
        <w:t>一、选择题I（</w:t>
      </w:r>
      <w:r>
        <w:rPr>
          <w:color w:val="000000" w:themeColor="text1"/>
          <w:kern w:val="0"/>
          <w:szCs w:val="21"/>
          <w14:textFill>
            <w14:solidFill>
              <w14:schemeClr w14:val="tx1"/>
            </w14:solidFill>
          </w14:textFill>
        </w:rPr>
        <w:t>本题共5小题，每小题2分，共10分。在每小题给出的四个选项中，只有一项符合题目要求。）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24"/>
        <w:gridCol w:w="765"/>
        <w:gridCol w:w="823"/>
        <w:gridCol w:w="864"/>
      </w:tblGrid>
      <w:tr w14:paraId="4C7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13FC2278">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w:t>
            </w:r>
          </w:p>
        </w:tc>
        <w:tc>
          <w:tcPr>
            <w:tcW w:w="724" w:type="dxa"/>
            <w:tcBorders>
              <w:top w:val="single" w:color="auto" w:sz="4" w:space="0"/>
              <w:left w:val="single" w:color="auto" w:sz="4" w:space="0"/>
              <w:bottom w:val="single" w:color="auto" w:sz="4" w:space="0"/>
              <w:right w:val="single" w:color="auto" w:sz="4" w:space="0"/>
            </w:tcBorders>
            <w:vAlign w:val="center"/>
          </w:tcPr>
          <w:p w14:paraId="07CCC77F">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2</w:t>
            </w:r>
          </w:p>
        </w:tc>
        <w:tc>
          <w:tcPr>
            <w:tcW w:w="765" w:type="dxa"/>
            <w:tcBorders>
              <w:top w:val="single" w:color="auto" w:sz="4" w:space="0"/>
              <w:left w:val="single" w:color="auto" w:sz="4" w:space="0"/>
              <w:bottom w:val="single" w:color="auto" w:sz="4" w:space="0"/>
              <w:right w:val="single" w:color="auto" w:sz="4" w:space="0"/>
            </w:tcBorders>
            <w:vAlign w:val="center"/>
          </w:tcPr>
          <w:p w14:paraId="1EF0F1D9">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3</w:t>
            </w:r>
          </w:p>
        </w:tc>
        <w:tc>
          <w:tcPr>
            <w:tcW w:w="823" w:type="dxa"/>
            <w:tcBorders>
              <w:top w:val="single" w:color="auto" w:sz="4" w:space="0"/>
              <w:left w:val="single" w:color="auto" w:sz="4" w:space="0"/>
              <w:bottom w:val="single" w:color="auto" w:sz="4" w:space="0"/>
              <w:right w:val="single" w:color="auto" w:sz="4" w:space="0"/>
            </w:tcBorders>
            <w:vAlign w:val="center"/>
          </w:tcPr>
          <w:p w14:paraId="037AA338">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4</w:t>
            </w:r>
          </w:p>
        </w:tc>
        <w:tc>
          <w:tcPr>
            <w:tcW w:w="864" w:type="dxa"/>
            <w:tcBorders>
              <w:top w:val="single" w:color="auto" w:sz="4" w:space="0"/>
              <w:left w:val="single" w:color="auto" w:sz="4" w:space="0"/>
              <w:bottom w:val="single" w:color="auto" w:sz="4" w:space="0"/>
              <w:right w:val="single" w:color="auto" w:sz="4" w:space="0"/>
            </w:tcBorders>
            <w:vAlign w:val="center"/>
          </w:tcPr>
          <w:p w14:paraId="410800BD">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5</w:t>
            </w:r>
          </w:p>
        </w:tc>
      </w:tr>
      <w:tr w14:paraId="0E29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4B005C30">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c>
          <w:tcPr>
            <w:tcW w:w="724" w:type="dxa"/>
            <w:tcBorders>
              <w:top w:val="single" w:color="auto" w:sz="4" w:space="0"/>
              <w:left w:val="single" w:color="auto" w:sz="4" w:space="0"/>
              <w:bottom w:val="single" w:color="auto" w:sz="4" w:space="0"/>
              <w:right w:val="single" w:color="auto" w:sz="4" w:space="0"/>
            </w:tcBorders>
            <w:vAlign w:val="center"/>
          </w:tcPr>
          <w:p w14:paraId="2BE33D72">
            <w:pPr>
              <w:spacing w:line="288" w:lineRule="auto"/>
              <w:jc w:val="left"/>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65" w:type="dxa"/>
            <w:tcBorders>
              <w:top w:val="single" w:color="auto" w:sz="4" w:space="0"/>
              <w:left w:val="single" w:color="auto" w:sz="4" w:space="0"/>
              <w:bottom w:val="single" w:color="auto" w:sz="4" w:space="0"/>
              <w:right w:val="single" w:color="auto" w:sz="4" w:space="0"/>
            </w:tcBorders>
            <w:vAlign w:val="center"/>
          </w:tcPr>
          <w:p w14:paraId="70592595">
            <w:pPr>
              <w:spacing w:line="288" w:lineRule="auto"/>
              <w:jc w:val="left"/>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c>
          <w:tcPr>
            <w:tcW w:w="823" w:type="dxa"/>
            <w:tcBorders>
              <w:top w:val="single" w:color="auto" w:sz="4" w:space="0"/>
              <w:left w:val="single" w:color="auto" w:sz="4" w:space="0"/>
              <w:bottom w:val="single" w:color="auto" w:sz="4" w:space="0"/>
              <w:right w:val="single" w:color="auto" w:sz="4" w:space="0"/>
            </w:tcBorders>
            <w:vAlign w:val="center"/>
          </w:tcPr>
          <w:p w14:paraId="57B05A42">
            <w:pPr>
              <w:spacing w:line="288" w:lineRule="auto"/>
              <w:jc w:val="left"/>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864" w:type="dxa"/>
            <w:tcBorders>
              <w:top w:val="single" w:color="auto" w:sz="4" w:space="0"/>
              <w:left w:val="single" w:color="auto" w:sz="4" w:space="0"/>
              <w:bottom w:val="single" w:color="auto" w:sz="4" w:space="0"/>
              <w:right w:val="single" w:color="auto" w:sz="4" w:space="0"/>
            </w:tcBorders>
            <w:vAlign w:val="center"/>
          </w:tcPr>
          <w:p w14:paraId="6E6CEE72">
            <w:pPr>
              <w:spacing w:line="288" w:lineRule="auto"/>
              <w:jc w:val="left"/>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r>
    </w:tbl>
    <w:p w14:paraId="7414B90E">
      <w:pPr>
        <w:overflowPunct w:val="0"/>
        <w:adjustRightInd w:val="0"/>
        <w:spacing w:line="360" w:lineRule="auto"/>
        <w:textAlignment w:val="center"/>
        <w:rPr>
          <w:color w:val="000000" w:themeColor="text1"/>
          <w:kern w:val="0"/>
          <w:szCs w:val="21"/>
          <w14:textFill>
            <w14:solidFill>
              <w14:schemeClr w14:val="tx1"/>
            </w14:solidFill>
          </w14:textFill>
        </w:rPr>
      </w:pPr>
      <w:r>
        <w:rPr>
          <w:rFonts w:eastAsia="黑体"/>
          <w:color w:val="000000" w:themeColor="text1"/>
          <w:spacing w:val="2"/>
          <w:szCs w:val="21"/>
          <w14:textFill>
            <w14:solidFill>
              <w14:schemeClr w14:val="tx1"/>
            </w14:solidFill>
          </w14:textFill>
        </w:rPr>
        <w:t>二、选择题II（</w:t>
      </w:r>
      <w:r>
        <w:rPr>
          <w:color w:val="000000" w:themeColor="text1"/>
          <w:kern w:val="0"/>
          <w:szCs w:val="21"/>
          <w14:textFill>
            <w14:solidFill>
              <w14:schemeClr w14:val="tx1"/>
            </w14:solidFill>
          </w14:textFill>
        </w:rPr>
        <w:t>本题共12小题，每小题3分，共36分。在每小题给出的四个选项中，只有一项符合题目要求。）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64"/>
        <w:gridCol w:w="864"/>
        <w:gridCol w:w="724"/>
        <w:gridCol w:w="724"/>
        <w:gridCol w:w="724"/>
        <w:gridCol w:w="724"/>
        <w:gridCol w:w="724"/>
        <w:gridCol w:w="724"/>
        <w:gridCol w:w="724"/>
        <w:gridCol w:w="724"/>
        <w:gridCol w:w="724"/>
      </w:tblGrid>
      <w:tr w14:paraId="654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F99FEF8">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6</w:t>
            </w:r>
          </w:p>
        </w:tc>
        <w:tc>
          <w:tcPr>
            <w:tcW w:w="864" w:type="dxa"/>
            <w:tcBorders>
              <w:top w:val="single" w:color="auto" w:sz="4" w:space="0"/>
              <w:left w:val="single" w:color="auto" w:sz="4" w:space="0"/>
              <w:bottom w:val="single" w:color="auto" w:sz="4" w:space="0"/>
              <w:right w:val="single" w:color="auto" w:sz="4" w:space="0"/>
            </w:tcBorders>
            <w:vAlign w:val="center"/>
          </w:tcPr>
          <w:p w14:paraId="564DD8B6">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7</w:t>
            </w:r>
          </w:p>
        </w:tc>
        <w:tc>
          <w:tcPr>
            <w:tcW w:w="864" w:type="dxa"/>
            <w:tcBorders>
              <w:top w:val="single" w:color="auto" w:sz="4" w:space="0"/>
              <w:left w:val="single" w:color="auto" w:sz="4" w:space="0"/>
              <w:bottom w:val="single" w:color="auto" w:sz="4" w:space="0"/>
              <w:right w:val="single" w:color="auto" w:sz="4" w:space="0"/>
            </w:tcBorders>
            <w:vAlign w:val="center"/>
          </w:tcPr>
          <w:p w14:paraId="74038219">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8</w:t>
            </w:r>
          </w:p>
        </w:tc>
        <w:tc>
          <w:tcPr>
            <w:tcW w:w="724" w:type="dxa"/>
            <w:tcBorders>
              <w:top w:val="single" w:color="auto" w:sz="4" w:space="0"/>
              <w:left w:val="single" w:color="auto" w:sz="4" w:space="0"/>
              <w:bottom w:val="single" w:color="auto" w:sz="4" w:space="0"/>
              <w:right w:val="single" w:color="auto" w:sz="4" w:space="0"/>
            </w:tcBorders>
            <w:vAlign w:val="center"/>
          </w:tcPr>
          <w:p w14:paraId="5E5AC3C8">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9</w:t>
            </w:r>
          </w:p>
        </w:tc>
        <w:tc>
          <w:tcPr>
            <w:tcW w:w="724" w:type="dxa"/>
            <w:tcBorders>
              <w:top w:val="single" w:color="auto" w:sz="4" w:space="0"/>
              <w:left w:val="single" w:color="auto" w:sz="4" w:space="0"/>
              <w:bottom w:val="single" w:color="auto" w:sz="4" w:space="0"/>
              <w:right w:val="single" w:color="auto" w:sz="4" w:space="0"/>
            </w:tcBorders>
            <w:vAlign w:val="center"/>
          </w:tcPr>
          <w:p w14:paraId="663C9533">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10</w:t>
            </w:r>
          </w:p>
        </w:tc>
        <w:tc>
          <w:tcPr>
            <w:tcW w:w="724" w:type="dxa"/>
            <w:tcBorders>
              <w:top w:val="single" w:color="auto" w:sz="4" w:space="0"/>
              <w:left w:val="single" w:color="auto" w:sz="4" w:space="0"/>
              <w:bottom w:val="single" w:color="auto" w:sz="4" w:space="0"/>
              <w:right w:val="single" w:color="auto" w:sz="4" w:space="0"/>
            </w:tcBorders>
            <w:vAlign w:val="center"/>
          </w:tcPr>
          <w:p w14:paraId="04E12551">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11</w:t>
            </w:r>
          </w:p>
        </w:tc>
        <w:tc>
          <w:tcPr>
            <w:tcW w:w="724" w:type="dxa"/>
            <w:tcBorders>
              <w:top w:val="single" w:color="auto" w:sz="4" w:space="0"/>
              <w:left w:val="single" w:color="auto" w:sz="4" w:space="0"/>
              <w:bottom w:val="single" w:color="auto" w:sz="4" w:space="0"/>
              <w:right w:val="single" w:color="auto" w:sz="4" w:space="0"/>
            </w:tcBorders>
            <w:vAlign w:val="center"/>
          </w:tcPr>
          <w:p w14:paraId="0DFC35F5">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12</w:t>
            </w:r>
          </w:p>
        </w:tc>
        <w:tc>
          <w:tcPr>
            <w:tcW w:w="724" w:type="dxa"/>
            <w:tcBorders>
              <w:top w:val="single" w:color="auto" w:sz="4" w:space="0"/>
              <w:left w:val="single" w:color="auto" w:sz="4" w:space="0"/>
              <w:bottom w:val="single" w:color="auto" w:sz="4" w:space="0"/>
              <w:right w:val="single" w:color="auto" w:sz="4" w:space="0"/>
            </w:tcBorders>
            <w:vAlign w:val="center"/>
          </w:tcPr>
          <w:p w14:paraId="47669FEB">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13</w:t>
            </w:r>
          </w:p>
        </w:tc>
        <w:tc>
          <w:tcPr>
            <w:tcW w:w="724" w:type="dxa"/>
            <w:tcBorders>
              <w:top w:val="single" w:color="auto" w:sz="4" w:space="0"/>
              <w:left w:val="single" w:color="auto" w:sz="4" w:space="0"/>
              <w:bottom w:val="single" w:color="auto" w:sz="4" w:space="0"/>
              <w:right w:val="single" w:color="auto" w:sz="4" w:space="0"/>
            </w:tcBorders>
            <w:vAlign w:val="center"/>
          </w:tcPr>
          <w:p w14:paraId="0AD50BF0">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14</w:t>
            </w:r>
          </w:p>
        </w:tc>
        <w:tc>
          <w:tcPr>
            <w:tcW w:w="724" w:type="dxa"/>
            <w:tcBorders>
              <w:top w:val="single" w:color="auto" w:sz="4" w:space="0"/>
              <w:left w:val="single" w:color="auto" w:sz="4" w:space="0"/>
              <w:bottom w:val="single" w:color="auto" w:sz="4" w:space="0"/>
              <w:right w:val="single" w:color="auto" w:sz="4" w:space="0"/>
            </w:tcBorders>
            <w:vAlign w:val="center"/>
          </w:tcPr>
          <w:p w14:paraId="5E4CECA1">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15</w:t>
            </w:r>
          </w:p>
        </w:tc>
        <w:tc>
          <w:tcPr>
            <w:tcW w:w="724" w:type="dxa"/>
            <w:tcBorders>
              <w:top w:val="single" w:color="auto" w:sz="4" w:space="0"/>
              <w:left w:val="single" w:color="auto" w:sz="4" w:space="0"/>
              <w:bottom w:val="single" w:color="auto" w:sz="4" w:space="0"/>
              <w:right w:val="single" w:color="auto" w:sz="4" w:space="0"/>
            </w:tcBorders>
            <w:vAlign w:val="center"/>
          </w:tcPr>
          <w:p w14:paraId="70001781">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16</w:t>
            </w:r>
          </w:p>
        </w:tc>
        <w:tc>
          <w:tcPr>
            <w:tcW w:w="724" w:type="dxa"/>
            <w:tcBorders>
              <w:top w:val="single" w:color="auto" w:sz="4" w:space="0"/>
              <w:left w:val="single" w:color="auto" w:sz="4" w:space="0"/>
              <w:bottom w:val="single" w:color="auto" w:sz="4" w:space="0"/>
              <w:right w:val="single" w:color="auto" w:sz="4" w:space="0"/>
            </w:tcBorders>
            <w:vAlign w:val="center"/>
          </w:tcPr>
          <w:p w14:paraId="6B9CDF55">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17</w:t>
            </w:r>
          </w:p>
        </w:tc>
      </w:tr>
      <w:tr w14:paraId="2B6C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A9296E9">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864" w:type="dxa"/>
            <w:tcBorders>
              <w:top w:val="single" w:color="auto" w:sz="4" w:space="0"/>
              <w:left w:val="single" w:color="auto" w:sz="4" w:space="0"/>
              <w:bottom w:val="single" w:color="auto" w:sz="4" w:space="0"/>
              <w:right w:val="single" w:color="auto" w:sz="4" w:space="0"/>
            </w:tcBorders>
            <w:vAlign w:val="center"/>
          </w:tcPr>
          <w:p w14:paraId="2A70B46A">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864" w:type="dxa"/>
            <w:tcBorders>
              <w:top w:val="single" w:color="auto" w:sz="4" w:space="0"/>
              <w:left w:val="single" w:color="auto" w:sz="4" w:space="0"/>
              <w:bottom w:val="single" w:color="auto" w:sz="4" w:space="0"/>
              <w:right w:val="single" w:color="auto" w:sz="4" w:space="0"/>
            </w:tcBorders>
            <w:vAlign w:val="center"/>
          </w:tcPr>
          <w:p w14:paraId="47005739">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6BB844B0">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c>
          <w:tcPr>
            <w:tcW w:w="724" w:type="dxa"/>
            <w:tcBorders>
              <w:top w:val="single" w:color="auto" w:sz="4" w:space="0"/>
              <w:left w:val="single" w:color="auto" w:sz="4" w:space="0"/>
              <w:bottom w:val="single" w:color="auto" w:sz="4" w:space="0"/>
              <w:right w:val="single" w:color="auto" w:sz="4" w:space="0"/>
            </w:tcBorders>
            <w:vAlign w:val="center"/>
          </w:tcPr>
          <w:p w14:paraId="44AEA0C1">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0E9B5D02">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01C4C28D">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276729AF">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092DFB7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724" w:type="dxa"/>
            <w:tcBorders>
              <w:top w:val="single" w:color="auto" w:sz="4" w:space="0"/>
              <w:left w:val="single" w:color="auto" w:sz="4" w:space="0"/>
              <w:bottom w:val="single" w:color="auto" w:sz="4" w:space="0"/>
              <w:right w:val="single" w:color="auto" w:sz="4" w:space="0"/>
            </w:tcBorders>
            <w:vAlign w:val="center"/>
          </w:tcPr>
          <w:p w14:paraId="3FC3C2BF">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1816D4B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724" w:type="dxa"/>
            <w:tcBorders>
              <w:top w:val="single" w:color="auto" w:sz="4" w:space="0"/>
              <w:left w:val="single" w:color="auto" w:sz="4" w:space="0"/>
              <w:bottom w:val="single" w:color="auto" w:sz="4" w:space="0"/>
              <w:right w:val="single" w:color="auto" w:sz="4" w:space="0"/>
            </w:tcBorders>
            <w:vAlign w:val="center"/>
          </w:tcPr>
          <w:p w14:paraId="41B988F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r>
    </w:tbl>
    <w:p w14:paraId="2B6B86AA">
      <w:pPr>
        <w:spacing w:line="360" w:lineRule="auto"/>
        <w:rPr>
          <w:bCs/>
          <w:color w:val="000000" w:themeColor="text1"/>
          <w14:textFill>
            <w14:solidFill>
              <w14:schemeClr w14:val="tx1"/>
            </w14:solidFill>
          </w14:textFill>
        </w:rPr>
      </w:pPr>
      <w:r>
        <w:rPr>
          <w:rFonts w:eastAsia="黑体"/>
          <w:color w:val="000000" w:themeColor="text1"/>
          <w:spacing w:val="2"/>
          <w:szCs w:val="21"/>
          <w14:textFill>
            <w14:solidFill>
              <w14:schemeClr w14:val="tx1"/>
            </w14:solidFill>
          </w14:textFill>
        </w:rPr>
        <w:t>三、非选择题</w:t>
      </w:r>
      <w:r>
        <w:rPr>
          <w:bCs/>
          <w:color w:val="000000" w:themeColor="text1"/>
          <w14:textFill>
            <w14:solidFill>
              <w14:schemeClr w14:val="tx1"/>
            </w14:solidFill>
          </w14:textFill>
        </w:rPr>
        <w:t>（本大题共4小题，其中第18题16分，第19题10分，第20题16分，第21题12分，共54分）。</w:t>
      </w:r>
    </w:p>
    <w:p w14:paraId="3F015357">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18．</w:t>
      </w:r>
      <w:r>
        <w:rPr>
          <w:color w:val="000000" w:themeColor="text1"/>
          <w:szCs w:val="21"/>
          <w14:textFill>
            <w14:solidFill>
              <w14:schemeClr w14:val="tx1"/>
            </w14:solidFill>
          </w14:textFill>
        </w:rPr>
        <w:t>【答案】</w:t>
      </w:r>
      <w:r>
        <w:rPr>
          <w:color w:val="000000" w:themeColor="text1"/>
          <w14:textFill>
            <w14:solidFill>
              <w14:schemeClr w14:val="tx1"/>
            </w14:solidFill>
          </w14:textFill>
        </w:rPr>
        <w:t>（1）特点：</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坚持中央管辖与地方自治相结合（或“因俗而治”）；</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注重任用当地首领进行管理；</w:t>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管理方式逐步深化，从松散羁縻趋向直接管理（如改土归流）；</w:t>
      </w: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政策具有连续性和发展性。（4分）</w:t>
      </w:r>
    </w:p>
    <w:p w14:paraId="5DF0FDA9">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历史作用：</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加强了中央政府对边疆地区的管辖，有利于维护国家统一和领土完整；</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促进了边疆地区的经济开发和社会进步；</w:t>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推动了各民族之间的交流与融合，有利于统一多民族国家的巩固与发展；</w:t>
      </w: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因地制宜的政策有利于缓和民族矛盾，稳定边疆社会秩序。（4分）</w:t>
      </w:r>
    </w:p>
    <w:p w14:paraId="6D106A7A">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本质区别：古代边疆政策本质上是封建王朝维护统治、实行民族压迫与怀柔相结合的手段（具有阶级性和不平等性）；新中国的民族区域自治制度是在国家统一领导下，各民族一律平等，保障少数民族当家作主权利的基本政治制度（具有人民性和平等性）。（4分）</w:t>
      </w:r>
    </w:p>
    <w:p w14:paraId="520F6410">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意义：</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实现了各民族平等、团结和共同繁荣，巩固了国家统一和民族团结；</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保障了少数民族自主管理本民族事务的权利，调动了其建设家园的积极性；</w:t>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为中国特色解决民族问题的道路提供了制度保障，是中国特色社会主义政治制度优越性的重要体现。（2点4分）</w:t>
      </w:r>
    </w:p>
    <w:p w14:paraId="7E1FFF99">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19．</w:t>
      </w:r>
      <w:r>
        <w:rPr>
          <w:color w:val="000000" w:themeColor="text1"/>
          <w:szCs w:val="21"/>
          <w14:textFill>
            <w14:solidFill>
              <w14:schemeClr w14:val="tx1"/>
            </w14:solidFill>
          </w14:textFill>
        </w:rPr>
        <w:t>【答案】</w:t>
      </w:r>
      <w:r>
        <w:rPr>
          <w:color w:val="000000" w:themeColor="text1"/>
          <w14:textFill>
            <w14:solidFill>
              <w14:schemeClr w14:val="tx1"/>
            </w14:solidFill>
          </w14:textFill>
        </w:rPr>
        <w:t>评析：观点（1分）改革的原因、条件角度：19世纪中期英国工业革命完成，资本主义经济高速发展，国内商贸与海外殖民贸易日益频繁，旧有邮政制度无法满足经济活动对高效、廉价通信的需求，成为经济发展的阻碍。传统邮政资费高昂，民众无力负担，限制了信息传播与社会交往；同时，邮政服务范围狭窄、传递效率低下，无法适应新兴资产阶级、工人阶级等群体的通信诉求。罗兰</w:t>
      </w:r>
      <w:r>
        <w:rPr>
          <w:rFonts w:eastAsia="微软雅黑"/>
          <w:color w:val="000000" w:themeColor="text1"/>
          <w14:textFill>
            <w14:solidFill>
              <w14:schemeClr w14:val="tx1"/>
            </w14:solidFill>
          </w14:textFill>
        </w:rPr>
        <w:t>・</w:t>
      </w:r>
      <w:r>
        <w:rPr>
          <w:color w:val="000000" w:themeColor="text1"/>
          <w14:textFill>
            <w14:solidFill>
              <w14:schemeClr w14:val="tx1"/>
            </w14:solidFill>
          </w14:textFill>
        </w:rPr>
        <w:t>希尔提出“统一便士邮政”方案，以“按重量计费、预付资费”为核心，为改革提供了理论与实践基础，推动英国政府突破旧制。（3分）</w:t>
      </w:r>
    </w:p>
    <w:p w14:paraId="728238EF">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改革的核心举措：推行“统一便士邮政”，将普通信件资费降至1便士，按重量而非距离收费，大幅降低通信成本；发行邮票实现预付资费，简化收费流程，提升了邮政服务的普惠性。采用铁路等现代运输工具提升邮件传递效率；增设邮政支局，逐步构建覆盖城乡乃至殖民地的邮政网络，实现了通信服务的规模化扩张。新增书籍邮递、邮政储蓄、电报国有化、明信片、包裹邮递等服务，使邮政从单一通信功能向多元化公共服务延伸，成为连接社会的重要纽带。（3分）</w:t>
      </w:r>
    </w:p>
    <w:p w14:paraId="5A9D8B0E">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改革的结果、影响：低廉的通信成本加速了信息流通，促进了国内商贸与海外殖民地贸易的发展，为工业革命的深入推进提供了通信保障；邮政网络的扩展带动了运输、印刷等相关产业的升级，成为英国经济近代化的重要支撑。民众通信成本下降，社会交往范围扩大，报纸、书籍等通过邮政广泛传播，推动了信息普及与民众对公共事务的参与，提升了社会整体活力与公共服务水平，一定程度上缩小了阶级间的信息鸿沟。邮政网络加强了殖民地与本土的联系，通过书信、商品、生活方式的相互影响，传播了英国文化，增强了大英帝国的凝聚力与国家认同；同时，近代邮政模式被其他国家借鉴，推动了全球邮政体系的近代化。局限性：改革本质上是为适应资本主义发展需求，其服务范围与深度仍受阶级与殖民利益限制，例如殖民地邮政服务更多服务于殖民统治需求，但整体而言，是英国近代化进程中的重要举措，对社会转型具有深远意义。（3分）</w:t>
      </w:r>
    </w:p>
    <w:p w14:paraId="21E850CA">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20．</w:t>
      </w:r>
      <w:r>
        <w:rPr>
          <w:color w:val="000000" w:themeColor="text1"/>
          <w:szCs w:val="21"/>
          <w14:textFill>
            <w14:solidFill>
              <w14:schemeClr w14:val="tx1"/>
            </w14:solidFill>
          </w14:textFill>
        </w:rPr>
        <w:t>【答案】</w:t>
      </w:r>
      <w:r>
        <w:rPr>
          <w:color w:val="000000" w:themeColor="text1"/>
          <w14:textFill>
            <w14:solidFill>
              <w14:schemeClr w14:val="tx1"/>
            </w14:solidFill>
          </w14:textFill>
        </w:rPr>
        <w:t>（1）蜀锦不能用于制衣，为特权所垄断：保宁丝织品规模有限，输出量不能满足全川民间需要：江南丝织业发达，四川木材等物产与江南的丝织品的贸易往来可互利互惠。（8分）</w:t>
      </w:r>
    </w:p>
    <w:p w14:paraId="0DD825A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（2）主要举措：模式创新，推行“乡办+户办”联营模式，整合集体与农户资源；政策扶持，政府以免税、贷款优先政策扶持企业发展；市场对接，依托供销社渠道，将产品销往省外市场。（4分，言之成理即可）</w:t>
      </w:r>
    </w:p>
    <w:p w14:paraId="5D064B1F">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意义：推动农村产业结构调整；促进农民身份转变（或从“纯农民”变为“农民兼工人”）：增加了农民的收入，推动县域经济发展：促进农村经济体制改革；推动湖南从计划经济向市场经济探索的历程。（4分，言之成理即可）</w:t>
      </w:r>
    </w:p>
    <w:p w14:paraId="57EFFC64">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21．</w:t>
      </w:r>
      <w:r>
        <w:rPr>
          <w:color w:val="000000" w:themeColor="text1"/>
          <w:szCs w:val="21"/>
          <w14:textFill>
            <w14:solidFill>
              <w14:schemeClr w14:val="tx1"/>
            </w14:solidFill>
          </w14:textFill>
        </w:rPr>
        <w:t>（12分）【答案】</w:t>
      </w:r>
      <w:r>
        <w:rPr>
          <w:color w:val="000000" w:themeColor="text1"/>
          <w14:textFill>
            <w14:solidFill>
              <w14:schemeClr w14:val="tx1"/>
            </w14:solidFill>
          </w14:textFill>
        </w:rPr>
        <w:t>示例：论题：横向发展与纵向发展交织互动推动世界历史不断向前。</w:t>
      </w:r>
    </w:p>
    <w:p w14:paraId="58F65507">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世界历史的发展从来不是单一维度地推进，而是横向从分散到整体、纵向从低级到高级两条主线交织互动、相互促进的过程，这一规律与马克思“世界历史”思想高度契合。</w:t>
      </w:r>
    </w:p>
    <w:p w14:paraId="2ACB699A">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近代欧美国家随着资本主义的发展通过资产阶级革命确立资本主义制度，又通过工业革命实现生产力的飞跃，完成了社会形态与文明层次的纵向提升。这种纵向进步推动西方国家对外殖民扩张，促使新航路开辟后的世界市场逐步形成，推动人类历史进一步走向整体化，开启了横向发展的加速期。</w:t>
      </w:r>
    </w:p>
    <w:p w14:paraId="62BA6F2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世界市场的形成使先进的生产技术、思想理念在全球传播，亚非拉地区在冲击中觉醒，通过改革或革命推动自身近代化，实现了本地区文明的纵向发展。到现代，经济全球化深入发展，各国依存度加深，人类命运共同体理念的提出，正是两条主线在更高阶段交织统一的体现。</w:t>
      </w:r>
    </w:p>
    <w:p w14:paraId="2BD4FA76">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综上，横向与纵向发展相互依存、相互推动，构成了世界历史的发展逻辑，也印证了马克思“世界历史”思想的科学性。</w:t>
      </w:r>
    </w:p>
    <w:p w14:paraId="103FC85E">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其他论题参考：</w:t>
      </w:r>
    </w:p>
    <w:p w14:paraId="33EE545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世界历史的纵向发展推动世界历史走向整体；社会进步加速世界历史横向发展；</w:t>
      </w:r>
    </w:p>
    <w:p w14:paraId="7620CAF4">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世界整体化促进各国社会纵向发展；马克思世界历史思想揭示历史发展规律；人类命运共同体是历史发展的必然。</w:t>
      </w:r>
    </w:p>
    <w:p w14:paraId="762432AB">
      <w:pPr>
        <w:adjustRightInd w:val="0"/>
        <w:snapToGrid w:val="0"/>
        <w:spacing w:line="360" w:lineRule="auto"/>
        <w:ind w:left="420"/>
        <w:jc w:val="left"/>
        <w:textAlignment w:val="center"/>
        <w:rPr>
          <w:color w:val="000000" w:themeColor="text1"/>
          <w14:textFill>
            <w14:solidFill>
              <w14:schemeClr w14:val="tx1"/>
            </w14:solidFill>
          </w14:textFill>
        </w:rPr>
      </w:pP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09EE">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3</w:t>
    </w:r>
    <w:r>
      <w:rPr>
        <w:rFonts w:eastAsia="Times New Roman"/>
      </w:rPr>
      <w:fldChar w:fldCharType="end"/>
    </w:r>
  </w:p>
  <w:p w14:paraId="7909B9F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D62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22</w:instrText>
    </w:r>
    <w:r>
      <w:fldChar w:fldCharType="end"/>
    </w:r>
    <w:r>
      <w:instrText xml:space="preserve"> </w:instrText>
    </w:r>
    <w:r>
      <w:fldChar w:fldCharType="separate"/>
    </w:r>
    <w:r>
      <w:t>22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82BB"/>
  <w:p w14:paraId="6B902BEA">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MxZTZlYTU2ZTY5ZTQyZDBkM2M2NzE0YTlhODIifQ=="/>
  </w:docVars>
  <w:rsids>
    <w:rsidRoot w:val="00C806B0"/>
    <w:rsid w:val="00043B54"/>
    <w:rsid w:val="00044BD3"/>
    <w:rsid w:val="00052438"/>
    <w:rsid w:val="0007214B"/>
    <w:rsid w:val="0007235F"/>
    <w:rsid w:val="000876C3"/>
    <w:rsid w:val="000B7F9A"/>
    <w:rsid w:val="0011415B"/>
    <w:rsid w:val="0014309C"/>
    <w:rsid w:val="00166A4A"/>
    <w:rsid w:val="00183CB9"/>
    <w:rsid w:val="001D7A06"/>
    <w:rsid w:val="00201828"/>
    <w:rsid w:val="002577BA"/>
    <w:rsid w:val="00267336"/>
    <w:rsid w:val="002767BF"/>
    <w:rsid w:val="00284433"/>
    <w:rsid w:val="002A197F"/>
    <w:rsid w:val="002A1EC6"/>
    <w:rsid w:val="002D22FC"/>
    <w:rsid w:val="002E035E"/>
    <w:rsid w:val="002E364F"/>
    <w:rsid w:val="002E664A"/>
    <w:rsid w:val="00340663"/>
    <w:rsid w:val="00371578"/>
    <w:rsid w:val="00385B50"/>
    <w:rsid w:val="003D64B6"/>
    <w:rsid w:val="003E64E6"/>
    <w:rsid w:val="003F2C73"/>
    <w:rsid w:val="0041230C"/>
    <w:rsid w:val="0041487A"/>
    <w:rsid w:val="004151FC"/>
    <w:rsid w:val="00430858"/>
    <w:rsid w:val="00460ECB"/>
    <w:rsid w:val="00471F4B"/>
    <w:rsid w:val="0048744B"/>
    <w:rsid w:val="00495078"/>
    <w:rsid w:val="004A6E9D"/>
    <w:rsid w:val="004C0567"/>
    <w:rsid w:val="004D5AFC"/>
    <w:rsid w:val="004E26F5"/>
    <w:rsid w:val="004E7122"/>
    <w:rsid w:val="00545D58"/>
    <w:rsid w:val="00592580"/>
    <w:rsid w:val="005B5EBA"/>
    <w:rsid w:val="0060144C"/>
    <w:rsid w:val="006309A3"/>
    <w:rsid w:val="0064056B"/>
    <w:rsid w:val="00654992"/>
    <w:rsid w:val="006628D8"/>
    <w:rsid w:val="0068092B"/>
    <w:rsid w:val="006A0BA4"/>
    <w:rsid w:val="006B16C5"/>
    <w:rsid w:val="006C48D1"/>
    <w:rsid w:val="006D1F20"/>
    <w:rsid w:val="00715045"/>
    <w:rsid w:val="007371D4"/>
    <w:rsid w:val="0075073F"/>
    <w:rsid w:val="00776133"/>
    <w:rsid w:val="007962E1"/>
    <w:rsid w:val="007F1D66"/>
    <w:rsid w:val="0080775F"/>
    <w:rsid w:val="0082582F"/>
    <w:rsid w:val="00836B6A"/>
    <w:rsid w:val="008546BF"/>
    <w:rsid w:val="00882679"/>
    <w:rsid w:val="008A6491"/>
    <w:rsid w:val="008C07DE"/>
    <w:rsid w:val="009029DB"/>
    <w:rsid w:val="009167C2"/>
    <w:rsid w:val="009236DE"/>
    <w:rsid w:val="009C54DF"/>
    <w:rsid w:val="009E7A99"/>
    <w:rsid w:val="009F2FD8"/>
    <w:rsid w:val="00A11903"/>
    <w:rsid w:val="00A23362"/>
    <w:rsid w:val="00A23EEC"/>
    <w:rsid w:val="00A30CCE"/>
    <w:rsid w:val="00A31FED"/>
    <w:rsid w:val="00A50F8C"/>
    <w:rsid w:val="00A57F0D"/>
    <w:rsid w:val="00A74346"/>
    <w:rsid w:val="00A76524"/>
    <w:rsid w:val="00A839B9"/>
    <w:rsid w:val="00AB2888"/>
    <w:rsid w:val="00AB3F12"/>
    <w:rsid w:val="00AC3E9C"/>
    <w:rsid w:val="00AF55ED"/>
    <w:rsid w:val="00B15F49"/>
    <w:rsid w:val="00B2092B"/>
    <w:rsid w:val="00B222D2"/>
    <w:rsid w:val="00B27F22"/>
    <w:rsid w:val="00B41FD9"/>
    <w:rsid w:val="00B647E7"/>
    <w:rsid w:val="00B714BF"/>
    <w:rsid w:val="00B77A72"/>
    <w:rsid w:val="00B87230"/>
    <w:rsid w:val="00BA17C1"/>
    <w:rsid w:val="00BA55BD"/>
    <w:rsid w:val="00BB3FEE"/>
    <w:rsid w:val="00BC4F14"/>
    <w:rsid w:val="00BC6044"/>
    <w:rsid w:val="00BE7F09"/>
    <w:rsid w:val="00BF535F"/>
    <w:rsid w:val="00C02FC6"/>
    <w:rsid w:val="00C22E6D"/>
    <w:rsid w:val="00C76DDF"/>
    <w:rsid w:val="00C806B0"/>
    <w:rsid w:val="00CE4B71"/>
    <w:rsid w:val="00CF6C29"/>
    <w:rsid w:val="00D030BE"/>
    <w:rsid w:val="00D04640"/>
    <w:rsid w:val="00D26AF8"/>
    <w:rsid w:val="00D318CD"/>
    <w:rsid w:val="00D71F5D"/>
    <w:rsid w:val="00D90917"/>
    <w:rsid w:val="00DC0E95"/>
    <w:rsid w:val="00E00B69"/>
    <w:rsid w:val="00E14372"/>
    <w:rsid w:val="00E266BB"/>
    <w:rsid w:val="00E367B9"/>
    <w:rsid w:val="00E4167C"/>
    <w:rsid w:val="00E476EE"/>
    <w:rsid w:val="00E80F4B"/>
    <w:rsid w:val="00E83A02"/>
    <w:rsid w:val="00EA5473"/>
    <w:rsid w:val="00EB7DDD"/>
    <w:rsid w:val="00EE6B20"/>
    <w:rsid w:val="00EF035E"/>
    <w:rsid w:val="00EF3342"/>
    <w:rsid w:val="00EF526D"/>
    <w:rsid w:val="00F1352F"/>
    <w:rsid w:val="00F31CEE"/>
    <w:rsid w:val="00F942D5"/>
    <w:rsid w:val="00FA68DF"/>
    <w:rsid w:val="3AA90FCE"/>
    <w:rsid w:val="43660C7B"/>
    <w:rsid w:val="4C94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Cs w:val="21"/>
    </w:rPr>
  </w:style>
  <w:style w:type="paragraph" w:styleId="3">
    <w:name w:val="toc 5"/>
    <w:basedOn w:val="1"/>
    <w:next w:val="1"/>
    <w:qFormat/>
    <w:uiPriority w:val="0"/>
    <w:pPr>
      <w:wordWrap w:val="0"/>
      <w:ind w:left="1275"/>
    </w:pPr>
    <w:rPr>
      <w:rFonts w:ascii="宋体" w:hAnsi="宋体" w:eastAsia="Times New Roman"/>
      <w:kern w:val="0"/>
      <w:sz w:val="20"/>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EDA94-DED8-424A-B14E-1790C24AAF4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2278</Words>
  <Characters>2308</Characters>
  <Lines>16</Lines>
  <Paragraphs>4</Paragraphs>
  <TotalTime>4</TotalTime>
  <ScaleCrop>false</ScaleCrop>
  <LinksUpToDate>false</LinksUpToDate>
  <CharactersWithSpaces>2308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2026-04-22T08:36:00Z</dcterms:created>
  <dc:creator>WSJ</dc:creator>
  <dc:description>原创精品资源学科网独家享有版权，侵权必究！</dc:description>
  <cp:lastModifiedBy>独秀山</cp:lastModifiedBy>
  <dcterms:modified xsi:type="dcterms:W3CDTF">2026-05-26T02:42:31Z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2515FAC922C846D48D790C6C0A0E633F_12</vt:lpwstr>
  </property>
</Properties>
</file>