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84355">
      <w:pPr>
        <w:tabs>
          <w:tab w:val="left" w:pos="2551"/>
          <w:tab w:val="left" w:pos="4677"/>
          <w:tab w:val="left" w:pos="6803"/>
        </w:tabs>
        <w:spacing w:line="360" w:lineRule="auto"/>
        <w:ind w:left="315"/>
        <w:textAlignment w:val="center"/>
        <w:rPr>
          <w:rFonts w:eastAsia="黑体"/>
          <w:b/>
          <w:color w:val="000000" w:themeColor="text1"/>
          <w:sz w:val="24"/>
          <w14:textFill>
            <w14:solidFill>
              <w14:schemeClr w14:val="tx1"/>
            </w14:solidFill>
          </w14:textFill>
        </w:rPr>
      </w:pPr>
      <w:bookmarkStart w:id="0" w:name="_GoBack"/>
      <w:bookmarkEnd w:id="0"/>
      <w:r>
        <w:rPr>
          <w:rFonts w:eastAsia="黑体"/>
          <w:b/>
          <w:color w:val="000000" w:themeColor="text1"/>
          <w:sz w:val="24"/>
          <w14:textFill>
            <w14:solidFill>
              <w14:schemeClr w14:val="tx1"/>
            </w14:solidFill>
          </w14:textFill>
        </w:rPr>
        <w:drawing>
          <wp:anchor distT="0" distB="0" distL="114300" distR="114300" simplePos="0" relativeHeight="251659264" behindDoc="0" locked="0" layoutInCell="1" allowOverlap="1">
            <wp:simplePos x="0" y="0"/>
            <wp:positionH relativeFrom="page">
              <wp:posOffset>10871200</wp:posOffset>
            </wp:positionH>
            <wp:positionV relativeFrom="topMargin">
              <wp:posOffset>11290300</wp:posOffset>
            </wp:positionV>
            <wp:extent cx="482600" cy="419100"/>
            <wp:effectExtent l="0" t="0" r="1270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7"/>
                    <a:stretch>
                      <a:fillRect/>
                    </a:stretch>
                  </pic:blipFill>
                  <pic:spPr>
                    <a:xfrm>
                      <a:off x="0" y="0"/>
                      <a:ext cx="482600" cy="419100"/>
                    </a:xfrm>
                    <a:prstGeom prst="rect">
                      <a:avLst/>
                    </a:prstGeom>
                  </pic:spPr>
                </pic:pic>
              </a:graphicData>
            </a:graphic>
          </wp:anchor>
        </w:drawing>
      </w:r>
      <w:r>
        <w:rPr>
          <w:rFonts w:eastAsia="黑体"/>
          <w:b/>
          <w:color w:val="000000" w:themeColor="text1"/>
          <w:sz w:val="24"/>
          <w14:textFill>
            <w14:solidFill>
              <w14:schemeClr w14:val="tx1"/>
            </w14:solidFill>
          </w14:textFill>
        </w:rPr>
        <w:drawing>
          <wp:anchor distT="0" distB="0" distL="114300" distR="114300" simplePos="0" relativeHeight="251660288" behindDoc="0" locked="0" layoutInCell="1" allowOverlap="1">
            <wp:simplePos x="0" y="0"/>
            <wp:positionH relativeFrom="page">
              <wp:posOffset>11023600</wp:posOffset>
            </wp:positionH>
            <wp:positionV relativeFrom="page">
              <wp:posOffset>12039600</wp:posOffset>
            </wp:positionV>
            <wp:extent cx="393700" cy="431800"/>
            <wp:effectExtent l="0" t="0" r="0" b="0"/>
            <wp:wrapNone/>
            <wp:docPr id="750" name="图片 750" descr="学科网"/>
            <wp:cNvGraphicFramePr/>
            <a:graphic xmlns:a="http://schemas.openxmlformats.org/drawingml/2006/main">
              <a:graphicData uri="http://schemas.openxmlformats.org/drawingml/2006/picture">
                <pic:pic xmlns:pic="http://schemas.openxmlformats.org/drawingml/2006/picture">
                  <pic:nvPicPr>
                    <pic:cNvPr id="750" name="图片 750" descr="学科网"/>
                    <pic:cNvPicPr/>
                  </pic:nvPicPr>
                  <pic:blipFill>
                    <a:blip r:embed="rId8">
                      <a:extLst>
                        <a:ext uri="{28A0092B-C50C-407E-A947-70E740481C1C}">
                          <a14:useLocalDpi xmlns:a14="http://schemas.microsoft.com/office/drawing/2010/main" val="0"/>
                        </a:ext>
                      </a:extLst>
                    </a:blip>
                    <a:stretch>
                      <a:fillRect/>
                    </a:stretch>
                  </pic:blipFill>
                  <pic:spPr>
                    <a:xfrm>
                      <a:off x="0" y="0"/>
                      <a:ext cx="393700" cy="431800"/>
                    </a:xfrm>
                    <a:prstGeom prst="rect">
                      <a:avLst/>
                    </a:prstGeom>
                    <a:noFill/>
                  </pic:spPr>
                </pic:pic>
              </a:graphicData>
            </a:graphic>
          </wp:anchor>
        </w:drawing>
      </w:r>
      <w:r>
        <w:rPr>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page">
              <wp:posOffset>10363200</wp:posOffset>
            </wp:positionH>
            <wp:positionV relativeFrom="page">
              <wp:posOffset>10490200</wp:posOffset>
            </wp:positionV>
            <wp:extent cx="457200" cy="368300"/>
            <wp:effectExtent l="0" t="0" r="0" b="0"/>
            <wp:wrapNone/>
            <wp:docPr id="13" name="图片 100918" descr="学科网"/>
            <wp:cNvGraphicFramePr/>
            <a:graphic xmlns:a="http://schemas.openxmlformats.org/drawingml/2006/main">
              <a:graphicData uri="http://schemas.openxmlformats.org/drawingml/2006/picture">
                <pic:pic xmlns:pic="http://schemas.openxmlformats.org/drawingml/2006/picture">
                  <pic:nvPicPr>
                    <pic:cNvPr id="13" name="图片 100918" descr="学科网"/>
                    <pic:cNvPicPr/>
                  </pic:nvPicPr>
                  <pic:blipFill>
                    <a:blip r:embed="rId9">
                      <a:extLst>
                        <a:ext uri="{28A0092B-C50C-407E-A947-70E740481C1C}">
                          <a14:useLocalDpi xmlns:a14="http://schemas.microsoft.com/office/drawing/2010/main" val="0"/>
                        </a:ext>
                      </a:extLst>
                    </a:blip>
                    <a:stretch>
                      <a:fillRect/>
                    </a:stretch>
                  </pic:blipFill>
                  <pic:spPr>
                    <a:xfrm>
                      <a:off x="0" y="0"/>
                      <a:ext cx="457200" cy="368300"/>
                    </a:xfrm>
                    <a:prstGeom prst="rect">
                      <a:avLst/>
                    </a:prstGeom>
                    <a:noFill/>
                  </pic:spPr>
                </pic:pic>
              </a:graphicData>
            </a:graphic>
          </wp:anchor>
        </w:drawing>
      </w:r>
      <w:r>
        <w:rPr>
          <w:rFonts w:eastAsia="黑体"/>
          <w:b/>
          <w:color w:val="000000" w:themeColor="text1"/>
          <w:sz w:val="24"/>
          <w14:textFill>
            <w14:solidFill>
              <w14:schemeClr w14:val="tx1"/>
            </w14:solidFill>
          </w14:textFill>
        </w:rPr>
        <w:t>绝密</w:t>
      </w:r>
      <w:r>
        <w:rPr>
          <w:rFonts w:hint="eastAsia" w:ascii="宋体" w:hAnsi="宋体" w:cs="宋体"/>
          <w:b/>
          <w:color w:val="000000" w:themeColor="text1"/>
          <w:sz w:val="24"/>
          <w14:textFill>
            <w14:solidFill>
              <w14:schemeClr w14:val="tx1"/>
            </w14:solidFill>
          </w14:textFill>
        </w:rPr>
        <w:t>★</w:t>
      </w:r>
      <w:r>
        <w:rPr>
          <w:rFonts w:eastAsia="黑体"/>
          <w:b/>
          <w:color w:val="000000" w:themeColor="text1"/>
          <w:sz w:val="24"/>
          <w14:textFill>
            <w14:solidFill>
              <w14:schemeClr w14:val="tx1"/>
            </w14:solidFill>
          </w14:textFill>
        </w:rPr>
        <w:t>启用前</w:t>
      </w:r>
    </w:p>
    <w:p w14:paraId="70B0B2F7">
      <w:pPr>
        <w:widowControl/>
        <w:spacing w:line="360" w:lineRule="auto"/>
        <w:ind w:left="315"/>
        <w:jc w:val="center"/>
        <w:textAlignment w:val="center"/>
        <w:rPr>
          <w:rFonts w:eastAsia="黑体"/>
          <w:color w:val="000000" w:themeColor="text1"/>
          <w:sz w:val="36"/>
          <w:szCs w:val="36"/>
          <w14:textFill>
            <w14:solidFill>
              <w14:schemeClr w14:val="tx1"/>
            </w14:solidFill>
          </w14:textFill>
        </w:rPr>
      </w:pPr>
      <w:r>
        <w:rPr>
          <w:rFonts w:eastAsia="黑体"/>
          <w:color w:val="000000" w:themeColor="text1"/>
          <w:sz w:val="36"/>
          <w:szCs w:val="36"/>
          <w14:textFill>
            <w14:solidFill>
              <w14:schemeClr w14:val="tx1"/>
            </w14:solidFill>
          </w14:textFill>
        </w:rPr>
        <w:t>2026年高考考前最后一卷（浙江专用）</w:t>
      </w:r>
    </w:p>
    <w:p w14:paraId="47184D39">
      <w:pPr>
        <w:tabs>
          <w:tab w:val="left" w:pos="2551"/>
          <w:tab w:val="left" w:pos="4677"/>
          <w:tab w:val="left" w:pos="6803"/>
        </w:tabs>
        <w:spacing w:line="360" w:lineRule="auto"/>
        <w:ind w:left="315"/>
        <w:jc w:val="center"/>
        <w:textAlignment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历史</w:t>
      </w:r>
      <w:r>
        <w:rPr>
          <w:rFonts w:eastAsia="黑体"/>
          <w:color w:val="000000" w:themeColor="text1"/>
          <w:sz w:val="30"/>
          <w14:textFill>
            <w14:solidFill>
              <w14:schemeClr w14:val="tx1"/>
            </w14:solidFill>
          </w14:textFill>
        </w:rPr>
        <w:t>·答案及评分标准</w:t>
      </w:r>
    </w:p>
    <w:p w14:paraId="39AB15FC">
      <w:pPr>
        <w:overflowPunct w:val="0"/>
        <w:adjustRightInd w:val="0"/>
        <w:spacing w:line="360" w:lineRule="auto"/>
        <w:textAlignment w:val="center"/>
        <w:rPr>
          <w:color w:val="000000" w:themeColor="text1"/>
          <w:kern w:val="0"/>
          <w:szCs w:val="21"/>
          <w14:textFill>
            <w14:solidFill>
              <w14:schemeClr w14:val="tx1"/>
            </w14:solidFill>
          </w14:textFill>
        </w:rPr>
      </w:pPr>
      <w:r>
        <w:rPr>
          <w:rFonts w:eastAsia="黑体"/>
          <w:color w:val="000000" w:themeColor="text1"/>
          <w:spacing w:val="2"/>
          <w:szCs w:val="21"/>
          <w14:textFill>
            <w14:solidFill>
              <w14:schemeClr w14:val="tx1"/>
            </w14:solidFill>
          </w14:textFill>
        </w:rPr>
        <w:t>一、选择题I（</w:t>
      </w:r>
      <w:r>
        <w:rPr>
          <w:color w:val="000000" w:themeColor="text1"/>
          <w:kern w:val="0"/>
          <w:szCs w:val="21"/>
          <w14:textFill>
            <w14:solidFill>
              <w14:schemeClr w14:val="tx1"/>
            </w14:solidFill>
          </w14:textFill>
        </w:rPr>
        <w:t>本题共5小题，每小题2分，共10分。在每小题给出的四个选项中，只有一项符合题目要求。）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724"/>
        <w:gridCol w:w="765"/>
        <w:gridCol w:w="823"/>
        <w:gridCol w:w="864"/>
      </w:tblGrid>
      <w:tr w14:paraId="19BE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3" w:type="dxa"/>
            <w:tcBorders>
              <w:top w:val="single" w:color="auto" w:sz="4" w:space="0"/>
              <w:left w:val="single" w:color="auto" w:sz="4" w:space="0"/>
              <w:bottom w:val="single" w:color="auto" w:sz="4" w:space="0"/>
              <w:right w:val="single" w:color="auto" w:sz="4" w:space="0"/>
            </w:tcBorders>
            <w:vAlign w:val="center"/>
          </w:tcPr>
          <w:p w14:paraId="4983A45B">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w:t>
            </w:r>
          </w:p>
        </w:tc>
        <w:tc>
          <w:tcPr>
            <w:tcW w:w="724" w:type="dxa"/>
            <w:tcBorders>
              <w:top w:val="single" w:color="auto" w:sz="4" w:space="0"/>
              <w:left w:val="single" w:color="auto" w:sz="4" w:space="0"/>
              <w:bottom w:val="single" w:color="auto" w:sz="4" w:space="0"/>
              <w:right w:val="single" w:color="auto" w:sz="4" w:space="0"/>
            </w:tcBorders>
            <w:vAlign w:val="center"/>
          </w:tcPr>
          <w:p w14:paraId="095BEB37">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2</w:t>
            </w:r>
          </w:p>
        </w:tc>
        <w:tc>
          <w:tcPr>
            <w:tcW w:w="765" w:type="dxa"/>
            <w:tcBorders>
              <w:top w:val="single" w:color="auto" w:sz="4" w:space="0"/>
              <w:left w:val="single" w:color="auto" w:sz="4" w:space="0"/>
              <w:bottom w:val="single" w:color="auto" w:sz="4" w:space="0"/>
              <w:right w:val="single" w:color="auto" w:sz="4" w:space="0"/>
            </w:tcBorders>
            <w:vAlign w:val="center"/>
          </w:tcPr>
          <w:p w14:paraId="7DC1E282">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3</w:t>
            </w:r>
          </w:p>
        </w:tc>
        <w:tc>
          <w:tcPr>
            <w:tcW w:w="823" w:type="dxa"/>
            <w:tcBorders>
              <w:top w:val="single" w:color="auto" w:sz="4" w:space="0"/>
              <w:left w:val="single" w:color="auto" w:sz="4" w:space="0"/>
              <w:bottom w:val="single" w:color="auto" w:sz="4" w:space="0"/>
              <w:right w:val="single" w:color="auto" w:sz="4" w:space="0"/>
            </w:tcBorders>
            <w:vAlign w:val="center"/>
          </w:tcPr>
          <w:p w14:paraId="79DD5D59">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4</w:t>
            </w:r>
          </w:p>
        </w:tc>
        <w:tc>
          <w:tcPr>
            <w:tcW w:w="864" w:type="dxa"/>
            <w:tcBorders>
              <w:top w:val="single" w:color="auto" w:sz="4" w:space="0"/>
              <w:left w:val="single" w:color="auto" w:sz="4" w:space="0"/>
              <w:bottom w:val="single" w:color="auto" w:sz="4" w:space="0"/>
              <w:right w:val="single" w:color="auto" w:sz="4" w:space="0"/>
            </w:tcBorders>
            <w:vAlign w:val="center"/>
          </w:tcPr>
          <w:p w14:paraId="3D7114F1">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5</w:t>
            </w:r>
          </w:p>
        </w:tc>
      </w:tr>
      <w:tr w14:paraId="4031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3" w:type="dxa"/>
            <w:tcBorders>
              <w:top w:val="single" w:color="auto" w:sz="4" w:space="0"/>
              <w:left w:val="single" w:color="auto" w:sz="4" w:space="0"/>
              <w:bottom w:val="single" w:color="auto" w:sz="4" w:space="0"/>
              <w:right w:val="single" w:color="auto" w:sz="4" w:space="0"/>
            </w:tcBorders>
            <w:vAlign w:val="center"/>
          </w:tcPr>
          <w:p w14:paraId="09030F96">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D</w:t>
            </w:r>
          </w:p>
        </w:tc>
        <w:tc>
          <w:tcPr>
            <w:tcW w:w="724" w:type="dxa"/>
            <w:tcBorders>
              <w:top w:val="single" w:color="auto" w:sz="4" w:space="0"/>
              <w:left w:val="single" w:color="auto" w:sz="4" w:space="0"/>
              <w:bottom w:val="single" w:color="auto" w:sz="4" w:space="0"/>
              <w:right w:val="single" w:color="auto" w:sz="4" w:space="0"/>
            </w:tcBorders>
            <w:vAlign w:val="center"/>
          </w:tcPr>
          <w:p w14:paraId="571759A3">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D</w:t>
            </w:r>
          </w:p>
        </w:tc>
        <w:tc>
          <w:tcPr>
            <w:tcW w:w="765" w:type="dxa"/>
            <w:tcBorders>
              <w:top w:val="single" w:color="auto" w:sz="4" w:space="0"/>
              <w:left w:val="single" w:color="auto" w:sz="4" w:space="0"/>
              <w:bottom w:val="single" w:color="auto" w:sz="4" w:space="0"/>
              <w:right w:val="single" w:color="auto" w:sz="4" w:space="0"/>
            </w:tcBorders>
            <w:vAlign w:val="center"/>
          </w:tcPr>
          <w:p w14:paraId="7369F1FA">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B</w:t>
            </w:r>
          </w:p>
        </w:tc>
        <w:tc>
          <w:tcPr>
            <w:tcW w:w="823" w:type="dxa"/>
            <w:tcBorders>
              <w:top w:val="single" w:color="auto" w:sz="4" w:space="0"/>
              <w:left w:val="single" w:color="auto" w:sz="4" w:space="0"/>
              <w:bottom w:val="single" w:color="auto" w:sz="4" w:space="0"/>
              <w:right w:val="single" w:color="auto" w:sz="4" w:space="0"/>
            </w:tcBorders>
            <w:vAlign w:val="center"/>
          </w:tcPr>
          <w:p w14:paraId="711AE6A1">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C</w:t>
            </w:r>
          </w:p>
        </w:tc>
        <w:tc>
          <w:tcPr>
            <w:tcW w:w="864" w:type="dxa"/>
            <w:tcBorders>
              <w:top w:val="single" w:color="auto" w:sz="4" w:space="0"/>
              <w:left w:val="single" w:color="auto" w:sz="4" w:space="0"/>
              <w:bottom w:val="single" w:color="auto" w:sz="4" w:space="0"/>
              <w:right w:val="single" w:color="auto" w:sz="4" w:space="0"/>
            </w:tcBorders>
            <w:vAlign w:val="center"/>
          </w:tcPr>
          <w:p w14:paraId="26662FE0">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B</w:t>
            </w:r>
          </w:p>
        </w:tc>
      </w:tr>
    </w:tbl>
    <w:p w14:paraId="7CD762C0">
      <w:pPr>
        <w:overflowPunct w:val="0"/>
        <w:adjustRightInd w:val="0"/>
        <w:spacing w:line="360" w:lineRule="auto"/>
        <w:textAlignment w:val="center"/>
        <w:rPr>
          <w:color w:val="000000" w:themeColor="text1"/>
          <w:kern w:val="0"/>
          <w:szCs w:val="21"/>
          <w14:textFill>
            <w14:solidFill>
              <w14:schemeClr w14:val="tx1"/>
            </w14:solidFill>
          </w14:textFill>
        </w:rPr>
      </w:pPr>
      <w:r>
        <w:rPr>
          <w:rFonts w:eastAsia="黑体"/>
          <w:color w:val="000000" w:themeColor="text1"/>
          <w:spacing w:val="2"/>
          <w:szCs w:val="21"/>
          <w14:textFill>
            <w14:solidFill>
              <w14:schemeClr w14:val="tx1"/>
            </w14:solidFill>
          </w14:textFill>
        </w:rPr>
        <w:t>二、选择题II（</w:t>
      </w:r>
      <w:r>
        <w:rPr>
          <w:color w:val="000000" w:themeColor="text1"/>
          <w:kern w:val="0"/>
          <w:szCs w:val="21"/>
          <w14:textFill>
            <w14:solidFill>
              <w14:schemeClr w14:val="tx1"/>
            </w14:solidFill>
          </w14:textFill>
        </w:rPr>
        <w:t>本题共12小题，每小题3分，共36分。在每小题给出的四个选项中，只有一项符合题目要求。）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864"/>
        <w:gridCol w:w="864"/>
        <w:gridCol w:w="724"/>
        <w:gridCol w:w="724"/>
        <w:gridCol w:w="724"/>
        <w:gridCol w:w="724"/>
        <w:gridCol w:w="724"/>
        <w:gridCol w:w="724"/>
        <w:gridCol w:w="724"/>
        <w:gridCol w:w="724"/>
        <w:gridCol w:w="724"/>
      </w:tblGrid>
      <w:tr w14:paraId="24AA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21AFBE0B">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6</w:t>
            </w:r>
          </w:p>
        </w:tc>
        <w:tc>
          <w:tcPr>
            <w:tcW w:w="864" w:type="dxa"/>
            <w:tcBorders>
              <w:top w:val="single" w:color="auto" w:sz="4" w:space="0"/>
              <w:left w:val="single" w:color="auto" w:sz="4" w:space="0"/>
              <w:bottom w:val="single" w:color="auto" w:sz="4" w:space="0"/>
              <w:right w:val="single" w:color="auto" w:sz="4" w:space="0"/>
            </w:tcBorders>
            <w:vAlign w:val="center"/>
          </w:tcPr>
          <w:p w14:paraId="40D03A03">
            <w:pPr>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7</w:t>
            </w:r>
          </w:p>
        </w:tc>
        <w:tc>
          <w:tcPr>
            <w:tcW w:w="864" w:type="dxa"/>
            <w:tcBorders>
              <w:top w:val="single" w:color="auto" w:sz="4" w:space="0"/>
              <w:left w:val="single" w:color="auto" w:sz="4" w:space="0"/>
              <w:bottom w:val="single" w:color="auto" w:sz="4" w:space="0"/>
              <w:right w:val="single" w:color="auto" w:sz="4" w:space="0"/>
            </w:tcBorders>
            <w:vAlign w:val="center"/>
          </w:tcPr>
          <w:p w14:paraId="33F47257">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8</w:t>
            </w:r>
          </w:p>
        </w:tc>
        <w:tc>
          <w:tcPr>
            <w:tcW w:w="724" w:type="dxa"/>
            <w:tcBorders>
              <w:top w:val="single" w:color="auto" w:sz="4" w:space="0"/>
              <w:left w:val="single" w:color="auto" w:sz="4" w:space="0"/>
              <w:bottom w:val="single" w:color="auto" w:sz="4" w:space="0"/>
              <w:right w:val="single" w:color="auto" w:sz="4" w:space="0"/>
            </w:tcBorders>
            <w:vAlign w:val="center"/>
          </w:tcPr>
          <w:p w14:paraId="34536D2E">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9</w:t>
            </w:r>
          </w:p>
        </w:tc>
        <w:tc>
          <w:tcPr>
            <w:tcW w:w="724" w:type="dxa"/>
            <w:tcBorders>
              <w:top w:val="single" w:color="auto" w:sz="4" w:space="0"/>
              <w:left w:val="single" w:color="auto" w:sz="4" w:space="0"/>
              <w:bottom w:val="single" w:color="auto" w:sz="4" w:space="0"/>
              <w:right w:val="single" w:color="auto" w:sz="4" w:space="0"/>
            </w:tcBorders>
            <w:vAlign w:val="center"/>
          </w:tcPr>
          <w:p w14:paraId="3E139788">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10</w:t>
            </w:r>
          </w:p>
        </w:tc>
        <w:tc>
          <w:tcPr>
            <w:tcW w:w="724" w:type="dxa"/>
            <w:tcBorders>
              <w:top w:val="single" w:color="auto" w:sz="4" w:space="0"/>
              <w:left w:val="single" w:color="auto" w:sz="4" w:space="0"/>
              <w:bottom w:val="single" w:color="auto" w:sz="4" w:space="0"/>
              <w:right w:val="single" w:color="auto" w:sz="4" w:space="0"/>
            </w:tcBorders>
            <w:vAlign w:val="center"/>
          </w:tcPr>
          <w:p w14:paraId="4BFBC26E">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11</w:t>
            </w:r>
          </w:p>
        </w:tc>
        <w:tc>
          <w:tcPr>
            <w:tcW w:w="724" w:type="dxa"/>
            <w:tcBorders>
              <w:top w:val="single" w:color="auto" w:sz="4" w:space="0"/>
              <w:left w:val="single" w:color="auto" w:sz="4" w:space="0"/>
              <w:bottom w:val="single" w:color="auto" w:sz="4" w:space="0"/>
              <w:right w:val="single" w:color="auto" w:sz="4" w:space="0"/>
            </w:tcBorders>
            <w:vAlign w:val="center"/>
          </w:tcPr>
          <w:p w14:paraId="5780AE16">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12</w:t>
            </w:r>
          </w:p>
        </w:tc>
        <w:tc>
          <w:tcPr>
            <w:tcW w:w="724" w:type="dxa"/>
            <w:tcBorders>
              <w:top w:val="single" w:color="auto" w:sz="4" w:space="0"/>
              <w:left w:val="single" w:color="auto" w:sz="4" w:space="0"/>
              <w:bottom w:val="single" w:color="auto" w:sz="4" w:space="0"/>
              <w:right w:val="single" w:color="auto" w:sz="4" w:space="0"/>
            </w:tcBorders>
            <w:vAlign w:val="center"/>
          </w:tcPr>
          <w:p w14:paraId="5665B07E">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13</w:t>
            </w:r>
          </w:p>
        </w:tc>
        <w:tc>
          <w:tcPr>
            <w:tcW w:w="724" w:type="dxa"/>
            <w:tcBorders>
              <w:top w:val="single" w:color="auto" w:sz="4" w:space="0"/>
              <w:left w:val="single" w:color="auto" w:sz="4" w:space="0"/>
              <w:bottom w:val="single" w:color="auto" w:sz="4" w:space="0"/>
              <w:right w:val="single" w:color="auto" w:sz="4" w:space="0"/>
            </w:tcBorders>
            <w:vAlign w:val="center"/>
          </w:tcPr>
          <w:p w14:paraId="53325FAD">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14</w:t>
            </w:r>
          </w:p>
        </w:tc>
        <w:tc>
          <w:tcPr>
            <w:tcW w:w="724" w:type="dxa"/>
            <w:tcBorders>
              <w:top w:val="single" w:color="auto" w:sz="4" w:space="0"/>
              <w:left w:val="single" w:color="auto" w:sz="4" w:space="0"/>
              <w:bottom w:val="single" w:color="auto" w:sz="4" w:space="0"/>
              <w:right w:val="single" w:color="auto" w:sz="4" w:space="0"/>
            </w:tcBorders>
            <w:vAlign w:val="center"/>
          </w:tcPr>
          <w:p w14:paraId="224DADAF">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15</w:t>
            </w:r>
          </w:p>
        </w:tc>
        <w:tc>
          <w:tcPr>
            <w:tcW w:w="724" w:type="dxa"/>
            <w:tcBorders>
              <w:top w:val="single" w:color="auto" w:sz="4" w:space="0"/>
              <w:left w:val="single" w:color="auto" w:sz="4" w:space="0"/>
              <w:bottom w:val="single" w:color="auto" w:sz="4" w:space="0"/>
              <w:right w:val="single" w:color="auto" w:sz="4" w:space="0"/>
            </w:tcBorders>
            <w:vAlign w:val="center"/>
          </w:tcPr>
          <w:p w14:paraId="1C69BD70">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16</w:t>
            </w:r>
          </w:p>
        </w:tc>
        <w:tc>
          <w:tcPr>
            <w:tcW w:w="724" w:type="dxa"/>
            <w:tcBorders>
              <w:top w:val="single" w:color="auto" w:sz="4" w:space="0"/>
              <w:left w:val="single" w:color="auto" w:sz="4" w:space="0"/>
              <w:bottom w:val="single" w:color="auto" w:sz="4" w:space="0"/>
              <w:right w:val="single" w:color="auto" w:sz="4" w:space="0"/>
            </w:tcBorders>
            <w:vAlign w:val="center"/>
          </w:tcPr>
          <w:p w14:paraId="53DA85F8">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17</w:t>
            </w:r>
          </w:p>
        </w:tc>
      </w:tr>
      <w:tr w14:paraId="7ACF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2DF4067C">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A</w:t>
            </w:r>
          </w:p>
        </w:tc>
        <w:tc>
          <w:tcPr>
            <w:tcW w:w="864" w:type="dxa"/>
            <w:tcBorders>
              <w:top w:val="single" w:color="auto" w:sz="4" w:space="0"/>
              <w:left w:val="single" w:color="auto" w:sz="4" w:space="0"/>
              <w:bottom w:val="single" w:color="auto" w:sz="4" w:space="0"/>
              <w:right w:val="single" w:color="auto" w:sz="4" w:space="0"/>
            </w:tcBorders>
            <w:vAlign w:val="center"/>
          </w:tcPr>
          <w:p w14:paraId="24F0AF62">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B</w:t>
            </w:r>
          </w:p>
        </w:tc>
        <w:tc>
          <w:tcPr>
            <w:tcW w:w="864" w:type="dxa"/>
            <w:tcBorders>
              <w:top w:val="single" w:color="auto" w:sz="4" w:space="0"/>
              <w:left w:val="single" w:color="auto" w:sz="4" w:space="0"/>
              <w:bottom w:val="single" w:color="auto" w:sz="4" w:space="0"/>
              <w:right w:val="single" w:color="auto" w:sz="4" w:space="0"/>
            </w:tcBorders>
            <w:vAlign w:val="center"/>
          </w:tcPr>
          <w:p w14:paraId="6788A02E">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D</w:t>
            </w:r>
          </w:p>
        </w:tc>
        <w:tc>
          <w:tcPr>
            <w:tcW w:w="724" w:type="dxa"/>
            <w:tcBorders>
              <w:top w:val="single" w:color="auto" w:sz="4" w:space="0"/>
              <w:left w:val="single" w:color="auto" w:sz="4" w:space="0"/>
              <w:bottom w:val="single" w:color="auto" w:sz="4" w:space="0"/>
              <w:right w:val="single" w:color="auto" w:sz="4" w:space="0"/>
            </w:tcBorders>
            <w:vAlign w:val="center"/>
          </w:tcPr>
          <w:p w14:paraId="604FB39B">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C</w:t>
            </w:r>
          </w:p>
        </w:tc>
        <w:tc>
          <w:tcPr>
            <w:tcW w:w="724" w:type="dxa"/>
            <w:tcBorders>
              <w:top w:val="single" w:color="auto" w:sz="4" w:space="0"/>
              <w:left w:val="single" w:color="auto" w:sz="4" w:space="0"/>
              <w:bottom w:val="single" w:color="auto" w:sz="4" w:space="0"/>
              <w:right w:val="single" w:color="auto" w:sz="4" w:space="0"/>
            </w:tcBorders>
            <w:vAlign w:val="center"/>
          </w:tcPr>
          <w:p w14:paraId="68EC056E">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D</w:t>
            </w:r>
          </w:p>
        </w:tc>
        <w:tc>
          <w:tcPr>
            <w:tcW w:w="724" w:type="dxa"/>
            <w:tcBorders>
              <w:top w:val="single" w:color="auto" w:sz="4" w:space="0"/>
              <w:left w:val="single" w:color="auto" w:sz="4" w:space="0"/>
              <w:bottom w:val="single" w:color="auto" w:sz="4" w:space="0"/>
              <w:right w:val="single" w:color="auto" w:sz="4" w:space="0"/>
            </w:tcBorders>
            <w:vAlign w:val="center"/>
          </w:tcPr>
          <w:p w14:paraId="71D61CD4">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D</w:t>
            </w:r>
          </w:p>
        </w:tc>
        <w:tc>
          <w:tcPr>
            <w:tcW w:w="724" w:type="dxa"/>
            <w:tcBorders>
              <w:top w:val="single" w:color="auto" w:sz="4" w:space="0"/>
              <w:left w:val="single" w:color="auto" w:sz="4" w:space="0"/>
              <w:bottom w:val="single" w:color="auto" w:sz="4" w:space="0"/>
              <w:right w:val="single" w:color="auto" w:sz="4" w:space="0"/>
            </w:tcBorders>
            <w:vAlign w:val="center"/>
          </w:tcPr>
          <w:p w14:paraId="2C5FCD45">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B</w:t>
            </w:r>
          </w:p>
        </w:tc>
        <w:tc>
          <w:tcPr>
            <w:tcW w:w="724" w:type="dxa"/>
            <w:tcBorders>
              <w:top w:val="single" w:color="auto" w:sz="4" w:space="0"/>
              <w:left w:val="single" w:color="auto" w:sz="4" w:space="0"/>
              <w:bottom w:val="single" w:color="auto" w:sz="4" w:space="0"/>
              <w:right w:val="single" w:color="auto" w:sz="4" w:space="0"/>
            </w:tcBorders>
            <w:vAlign w:val="center"/>
          </w:tcPr>
          <w:p w14:paraId="12CA4538">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C</w:t>
            </w:r>
          </w:p>
        </w:tc>
        <w:tc>
          <w:tcPr>
            <w:tcW w:w="724" w:type="dxa"/>
            <w:tcBorders>
              <w:top w:val="single" w:color="auto" w:sz="4" w:space="0"/>
              <w:left w:val="single" w:color="auto" w:sz="4" w:space="0"/>
              <w:bottom w:val="single" w:color="auto" w:sz="4" w:space="0"/>
              <w:right w:val="single" w:color="auto" w:sz="4" w:space="0"/>
            </w:tcBorders>
            <w:vAlign w:val="center"/>
          </w:tcPr>
          <w:p w14:paraId="08C18AA8">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C</w:t>
            </w:r>
          </w:p>
        </w:tc>
        <w:tc>
          <w:tcPr>
            <w:tcW w:w="724" w:type="dxa"/>
            <w:tcBorders>
              <w:top w:val="single" w:color="auto" w:sz="4" w:space="0"/>
              <w:left w:val="single" w:color="auto" w:sz="4" w:space="0"/>
              <w:bottom w:val="single" w:color="auto" w:sz="4" w:space="0"/>
              <w:right w:val="single" w:color="auto" w:sz="4" w:space="0"/>
            </w:tcBorders>
            <w:vAlign w:val="center"/>
          </w:tcPr>
          <w:p w14:paraId="39F80E65">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C</w:t>
            </w:r>
          </w:p>
        </w:tc>
        <w:tc>
          <w:tcPr>
            <w:tcW w:w="724" w:type="dxa"/>
            <w:tcBorders>
              <w:top w:val="single" w:color="auto" w:sz="4" w:space="0"/>
              <w:left w:val="single" w:color="auto" w:sz="4" w:space="0"/>
              <w:bottom w:val="single" w:color="auto" w:sz="4" w:space="0"/>
              <w:right w:val="single" w:color="auto" w:sz="4" w:space="0"/>
            </w:tcBorders>
            <w:vAlign w:val="center"/>
          </w:tcPr>
          <w:p w14:paraId="52E328A2">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A</w:t>
            </w:r>
          </w:p>
        </w:tc>
        <w:tc>
          <w:tcPr>
            <w:tcW w:w="724" w:type="dxa"/>
            <w:tcBorders>
              <w:top w:val="single" w:color="auto" w:sz="4" w:space="0"/>
              <w:left w:val="single" w:color="auto" w:sz="4" w:space="0"/>
              <w:bottom w:val="single" w:color="auto" w:sz="4" w:space="0"/>
              <w:right w:val="single" w:color="auto" w:sz="4" w:space="0"/>
            </w:tcBorders>
            <w:vAlign w:val="center"/>
          </w:tcPr>
          <w:p w14:paraId="76EC1D21">
            <w:pPr>
              <w:wordWrap w:val="0"/>
              <w:spacing w:line="288" w:lineRule="auto"/>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D</w:t>
            </w:r>
          </w:p>
        </w:tc>
      </w:tr>
    </w:tbl>
    <w:p w14:paraId="27882C46">
      <w:pPr>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三、非选择题（本大题共4小题，其中第18题16分，第19题10分，第20题16分，第21题12分，共54分）。</w:t>
      </w:r>
    </w:p>
    <w:p w14:paraId="7B7F06D3">
      <w:pPr>
        <w:spacing w:line="360" w:lineRule="auto"/>
        <w:ind w:left="420" w:hanging="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18．</w:t>
      </w:r>
      <w:r>
        <w:rPr>
          <w:color w:val="000000" w:themeColor="text1"/>
          <w:szCs w:val="21"/>
          <w14:textFill>
            <w14:solidFill>
              <w14:schemeClr w14:val="tx1"/>
            </w14:solidFill>
          </w14:textFill>
        </w:rPr>
        <w:t>【答案】</w:t>
      </w:r>
      <w:r>
        <w:rPr>
          <w:color w:val="000000" w:themeColor="text1"/>
          <w14:textFill>
            <w14:solidFill>
              <w14:schemeClr w14:val="tx1"/>
            </w14:solidFill>
          </w14:textFill>
        </w:rPr>
        <w:t>（1）史实：</w:t>
      </w: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蜀、吴两国则加强了对南方少数民族地区的治理。</w:t>
      </w:r>
    </w:p>
    <w:p w14:paraId="29D28301">
      <w:pPr>
        <w:spacing w:line="360" w:lineRule="auto"/>
        <w:ind w:left="420"/>
        <w:jc w:val="left"/>
        <w:textAlignment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自东汉以来，西、北边陲的一些少数民族不断向内地迁徙。（五胡内迁）</w:t>
      </w:r>
    </w:p>
    <w:p w14:paraId="25FDA7D3">
      <w:pPr>
        <w:spacing w:line="360" w:lineRule="auto"/>
        <w:ind w:left="420"/>
        <w:jc w:val="left"/>
        <w:textAlignment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东晋在江南开发的过程中，许多山区的少数民族也逐步与汉族交融。</w:t>
      </w:r>
    </w:p>
    <w:p w14:paraId="01256E4D">
      <w:pPr>
        <w:spacing w:line="360" w:lineRule="auto"/>
        <w:ind w:left="420"/>
        <w:jc w:val="left"/>
        <w:textAlignment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w:t>
      </w:r>
      <w:r>
        <w:rPr>
          <w:color w:val="000000" w:themeColor="text1"/>
          <w14:textFill>
            <w14:solidFill>
              <w14:schemeClr w14:val="tx1"/>
            </w14:solidFill>
          </w14:textFill>
        </w:rPr>
        <w:t>十六国时期北方少数民族政权都采用了中原模式的国号、年号，学习汉族的典章制度。</w:t>
      </w:r>
    </w:p>
    <w:p w14:paraId="2FD8CAB3">
      <w:pPr>
        <w:spacing w:line="360" w:lineRule="auto"/>
        <w:ind w:left="420"/>
        <w:jc w:val="left"/>
        <w:textAlignment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⑤</w:t>
      </w:r>
      <w:r>
        <w:rPr>
          <w:color w:val="000000" w:themeColor="text1"/>
          <w14:textFill>
            <w14:solidFill>
              <w14:schemeClr w14:val="tx1"/>
            </w14:solidFill>
          </w14:textFill>
        </w:rPr>
        <w:t>十六国时期在长期混战中，原有民族布局被打乱，各族之间频繁接触，差异慢慢缩小。</w:t>
      </w:r>
    </w:p>
    <w:p w14:paraId="442D21EE">
      <w:pPr>
        <w:spacing w:line="360" w:lineRule="auto"/>
        <w:ind w:left="420"/>
        <w:jc w:val="left"/>
        <w:textAlignment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⑥</w:t>
      </w:r>
      <w:r>
        <w:rPr>
          <w:color w:val="000000" w:themeColor="text1"/>
          <w14:textFill>
            <w14:solidFill>
              <w14:schemeClr w14:val="tx1"/>
            </w14:solidFill>
          </w14:textFill>
        </w:rPr>
        <w:t>北魏孝文帝改革（写出具体举措也可）（4分）</w:t>
      </w:r>
    </w:p>
    <w:p w14:paraId="22E6B466">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说明：在民族交融的基础上逐渐壮大，为统一全国准备了条件。</w:t>
      </w:r>
    </w:p>
    <w:p w14:paraId="583ACB08">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（或顺应民族交往交流交融的历史趋势，为北方统一南方以及隋唐盛世的出现打下了基础）（注：说明如何融合到史实表述中，也可）（2分）</w:t>
      </w:r>
    </w:p>
    <w:p w14:paraId="0BE85762">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表现：八股取士；频繁制造文字狱；程朱理学逐渐失去活力。（2分）</w:t>
      </w:r>
    </w:p>
    <w:p w14:paraId="70C2686F">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（2）趋势：海外贸易政策从大体鼓励、支持转为实行海禁、闭关自守。</w:t>
      </w:r>
    </w:p>
    <w:p w14:paraId="4731405D">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（从大体向外扩张转为逐渐内向收敛）（2分）</w:t>
      </w:r>
    </w:p>
    <w:p w14:paraId="547388A0">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因素：</w:t>
      </w: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小农经济具有自给自足性；</w:t>
      </w: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维护封建君主专制的需要；（或维护国家稳定、巩固统治的需要）</w:t>
      </w: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欧洲殖民者在中国沿海的频繁活动；</w:t>
      </w:r>
      <w:r>
        <w:rPr>
          <w:rFonts w:hint="eastAsia" w:ascii="宋体" w:hAnsi="宋体" w:cs="宋体"/>
          <w:color w:val="000000" w:themeColor="text1"/>
          <w14:textFill>
            <w14:solidFill>
              <w14:schemeClr w14:val="tx1"/>
            </w14:solidFill>
          </w14:textFill>
        </w:rPr>
        <w:t>④</w:t>
      </w:r>
      <w:r>
        <w:rPr>
          <w:color w:val="000000" w:themeColor="text1"/>
          <w14:textFill>
            <w14:solidFill>
              <w14:schemeClr w14:val="tx1"/>
            </w14:solidFill>
          </w14:textFill>
        </w:rPr>
        <w:t>儒学鼓吹重义轻利；</w:t>
      </w:r>
      <w:r>
        <w:rPr>
          <w:rFonts w:hint="eastAsia" w:ascii="宋体" w:hAnsi="宋体" w:cs="宋体"/>
          <w:color w:val="000000" w:themeColor="text1"/>
          <w14:textFill>
            <w14:solidFill>
              <w14:schemeClr w14:val="tx1"/>
            </w14:solidFill>
          </w14:textFill>
        </w:rPr>
        <w:t>⑤</w:t>
      </w:r>
      <w:r>
        <w:rPr>
          <w:color w:val="000000" w:themeColor="text1"/>
          <w14:textFill>
            <w14:solidFill>
              <w14:schemeClr w14:val="tx1"/>
            </w14:solidFill>
          </w14:textFill>
        </w:rPr>
        <w:t>自然资源的丰富；</w:t>
      </w:r>
      <w:r>
        <w:rPr>
          <w:rFonts w:hint="eastAsia" w:ascii="宋体" w:hAnsi="宋体" w:cs="宋体"/>
          <w:color w:val="000000" w:themeColor="text1"/>
          <w14:textFill>
            <w14:solidFill>
              <w14:schemeClr w14:val="tx1"/>
            </w14:solidFill>
          </w14:textFill>
        </w:rPr>
        <w:t>⑥</w:t>
      </w:r>
      <w:r>
        <w:rPr>
          <w:color w:val="000000" w:themeColor="text1"/>
          <w14:textFill>
            <w14:solidFill>
              <w14:schemeClr w14:val="tx1"/>
            </w14:solidFill>
          </w14:textFill>
        </w:rPr>
        <w:t>天朝上国/夷夏之辨/儒家天下观的影响（6分）</w:t>
      </w:r>
    </w:p>
    <w:p w14:paraId="3D248B5F">
      <w:pPr>
        <w:spacing w:line="360" w:lineRule="auto"/>
        <w:ind w:left="420"/>
        <w:jc w:val="left"/>
        <w:textAlignment w:val="center"/>
        <w:rPr>
          <w:color w:val="000000" w:themeColor="text1"/>
          <w14:textFill>
            <w14:solidFill>
              <w14:schemeClr w14:val="tx1"/>
            </w14:solidFill>
          </w14:textFill>
        </w:rPr>
      </w:pPr>
    </w:p>
    <w:p w14:paraId="7E2A7F1D">
      <w:pPr>
        <w:spacing w:line="360" w:lineRule="auto"/>
        <w:ind w:left="420" w:hanging="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19．</w:t>
      </w:r>
      <w:r>
        <w:rPr>
          <w:color w:val="000000" w:themeColor="text1"/>
          <w:szCs w:val="21"/>
          <w14:textFill>
            <w14:solidFill>
              <w14:schemeClr w14:val="tx1"/>
            </w14:solidFill>
          </w14:textFill>
        </w:rPr>
        <w:t>【答案】</w:t>
      </w:r>
      <w:r>
        <w:rPr>
          <w:color w:val="000000" w:themeColor="text1"/>
          <w14:textFill>
            <w14:solidFill>
              <w14:schemeClr w14:val="tx1"/>
            </w14:solidFill>
          </w14:textFill>
        </w:rPr>
        <w:t>示例一：</w:t>
      </w:r>
    </w:p>
    <w:p w14:paraId="6E0A8B22">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评析：学者的观点带有片面性，未能看到先进志士带领全国人民进行的艰苦探索与建设。</w:t>
      </w:r>
    </w:p>
    <w:p w14:paraId="249EA368">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在近代中国，地大物博的中国成为帝国主义国家掠夺的对象。近代西方和日本因为工业化需要对外进行商品输出和资源掠夺，对中国进行多次侵略。从鸦片战争到八国联军侵华，从《南京条约》到《辛丑条约》，中国一步步变成帝国主义的附庸，甚至到了亡国灭种的边缘。晚清政府和中华民国并没有因为“地大物博”而强大，反而备受欺凌。</w:t>
      </w:r>
    </w:p>
    <w:p w14:paraId="6AE6D727">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在当代中国，地大物博的中国成为发展中国家发展的标杆。自1949年新中国成立，中华民族迎来新民主主义革命的胜利。在中国共产党的带领下，中国在“一五”计划和一化三改中焕发新生，进行工业体系构建和工业合理布局；在改革开放中激发活力、全面发展，积极参与世界市场和国际分工，最终探索出一条不同于西方的现代化之路。</w:t>
      </w:r>
    </w:p>
    <w:p w14:paraId="6917A27B">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由此可见，地大物博只是中国强大的条件，中国强大的根本原因在于中国共产党领导下全国各族人民的积极奋进。</w:t>
      </w:r>
    </w:p>
    <w:p w14:paraId="0FA26965">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示例二：</w:t>
      </w:r>
    </w:p>
    <w:p w14:paraId="7BCCF2E5">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评析：李怀印认为中国在近现代从羸弱到富强的关键原点在于“庞大体量和地缘政治”，此观点有一定道理。庞大的人口使中国制造业拥有广阔的国内市场和充足的劳动力，为工业化奠定基础，推动经济快速发展。辽阔的国土与丰富的资源，让中国经济独立且体系完备，减少对外依赖，保障发展自主性。地缘政治上，大国广阔空间和强大动员能力，有利于应对外部威胁，维护稳定发展环境；人均国防费用降低，可投入更多资源用于经济建设。然而，仅有这些因素不够，近现代中国历经诸多探索，如革命、改革等，才找到正确发展道路。</w:t>
      </w:r>
    </w:p>
    <w:p w14:paraId="5D70F986">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综上所述，庞大体量和地缘政治是重要基础，但还需结合其他因素，中国才能实现从羸弱到富强。</w:t>
      </w:r>
    </w:p>
    <w:p w14:paraId="7E700984">
      <w:pPr>
        <w:spacing w:line="360" w:lineRule="auto"/>
        <w:ind w:left="420"/>
        <w:jc w:val="left"/>
        <w:textAlignment w:val="center"/>
        <w:rPr>
          <w:color w:val="000000" w:themeColor="text1"/>
          <w14:textFill>
            <w14:solidFill>
              <w14:schemeClr w14:val="tx1"/>
            </w14:solidFill>
          </w14:textFill>
        </w:rPr>
      </w:pPr>
    </w:p>
    <w:p w14:paraId="4FF1D331">
      <w:pPr>
        <w:spacing w:line="360" w:lineRule="auto"/>
        <w:ind w:left="420" w:hanging="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20．</w:t>
      </w:r>
      <w:r>
        <w:rPr>
          <w:color w:val="000000" w:themeColor="text1"/>
          <w:szCs w:val="21"/>
          <w14:textFill>
            <w14:solidFill>
              <w14:schemeClr w14:val="tx1"/>
            </w14:solidFill>
          </w14:textFill>
        </w:rPr>
        <w:t>【答案】</w:t>
      </w:r>
      <w:r>
        <w:rPr>
          <w:color w:val="000000" w:themeColor="text1"/>
          <w14:textFill>
            <w14:solidFill>
              <w14:schemeClr w14:val="tx1"/>
            </w14:solidFill>
          </w14:textFill>
        </w:rPr>
        <w:t>（1）难题：铁路建设需要大量资金，企业规模无力投资；铁路建设投资巨大，管理困难。（4分）</w:t>
      </w:r>
    </w:p>
    <w:p w14:paraId="010ABCBB">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见解：铁路建设催生了新型大企业的出现和发展；大企业为铁路建设提供了资金支持和管理保障。（4分）</w:t>
      </w:r>
    </w:p>
    <w:p w14:paraId="1E805DA3">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（2）差异：</w:t>
      </w: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资金来源不同：美国由私人资本主导，苏联由国家财政拨款；</w:t>
      </w:r>
    </w:p>
    <w:p w14:paraId="65DC75B7">
      <w:pPr>
        <w:spacing w:line="360" w:lineRule="auto"/>
        <w:ind w:left="420"/>
        <w:jc w:val="left"/>
        <w:textAlignment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建设主体不同：美国以大企业为建设主体，苏联以国家为主体；</w:t>
      </w:r>
    </w:p>
    <w:p w14:paraId="5906FF81">
      <w:pPr>
        <w:spacing w:line="360" w:lineRule="auto"/>
        <w:ind w:left="420"/>
        <w:jc w:val="left"/>
        <w:textAlignment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建设目的不同：美国为促进跨区域贸易和西部开发，苏联服务于工业化战略及国防需求；</w:t>
      </w:r>
    </w:p>
    <w:p w14:paraId="18BD4A78">
      <w:pPr>
        <w:spacing w:line="360" w:lineRule="auto"/>
        <w:ind w:left="420"/>
        <w:jc w:val="left"/>
        <w:textAlignment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w:t>
      </w:r>
      <w:r>
        <w:rPr>
          <w:color w:val="000000" w:themeColor="text1"/>
          <w14:textFill>
            <w14:solidFill>
              <w14:schemeClr w14:val="tx1"/>
            </w14:solidFill>
          </w14:textFill>
        </w:rPr>
        <w:t>影响不同：美国铁路建设推动现代金融业形成与发展，苏联铁路建设加快了工业化进程，为二战的胜利提供了条件；</w:t>
      </w:r>
    </w:p>
    <w:p w14:paraId="647017A9">
      <w:pPr>
        <w:spacing w:line="360" w:lineRule="auto"/>
        <w:ind w:left="420"/>
        <w:jc w:val="left"/>
        <w:textAlignment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⑤</w:t>
      </w:r>
      <w:r>
        <w:rPr>
          <w:color w:val="000000" w:themeColor="text1"/>
          <w14:textFill>
            <w14:solidFill>
              <w14:schemeClr w14:val="tx1"/>
            </w14:solidFill>
          </w14:textFill>
        </w:rPr>
        <w:t>管理方式不同：美国由企业自主经营，市场化运作，苏联由政府部门实行国有化统一管理；</w:t>
      </w:r>
    </w:p>
    <w:p w14:paraId="57C05277">
      <w:pPr>
        <w:spacing w:line="360" w:lineRule="auto"/>
        <w:ind w:left="420"/>
        <w:jc w:val="left"/>
        <w:textAlignment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⑥</w:t>
      </w:r>
      <w:r>
        <w:rPr>
          <w:color w:val="000000" w:themeColor="text1"/>
          <w14:textFill>
            <w14:solidFill>
              <w14:schemeClr w14:val="tx1"/>
            </w14:solidFill>
          </w14:textFill>
        </w:rPr>
        <w:t>建设速度不同：美国渐进式建设，苏联高速推进等。（3个角度完整对比6分）</w:t>
      </w:r>
    </w:p>
    <w:p w14:paraId="3A138BF8">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原因：美国是资本主义国家，是市场经济体制；苏联是社会主义国家，实行计划经济体制。（2分）</w:t>
      </w:r>
    </w:p>
    <w:p w14:paraId="71B6927C">
      <w:pPr>
        <w:spacing w:line="360" w:lineRule="auto"/>
        <w:ind w:left="420"/>
        <w:jc w:val="left"/>
        <w:textAlignment w:val="center"/>
        <w:rPr>
          <w:color w:val="000000" w:themeColor="text1"/>
          <w14:textFill>
            <w14:solidFill>
              <w14:schemeClr w14:val="tx1"/>
            </w14:solidFill>
          </w14:textFill>
        </w:rPr>
      </w:pPr>
    </w:p>
    <w:p w14:paraId="3A379CB3">
      <w:pPr>
        <w:spacing w:line="360" w:lineRule="auto"/>
        <w:ind w:left="420" w:hanging="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21．</w:t>
      </w:r>
      <w:r>
        <w:rPr>
          <w:color w:val="000000" w:themeColor="text1"/>
          <w:szCs w:val="21"/>
          <w14:textFill>
            <w14:solidFill>
              <w14:schemeClr w14:val="tx1"/>
            </w14:solidFill>
          </w14:textFill>
        </w:rPr>
        <w:t>（12分）</w:t>
      </w:r>
      <w:r>
        <w:rPr>
          <w:color w:val="000000" w:themeColor="text1"/>
          <w14:textFill>
            <w14:solidFill>
              <w14:schemeClr w14:val="tx1"/>
            </w14:solidFill>
          </w14:textFill>
        </w:rPr>
        <w:t>示例一</w:t>
      </w:r>
    </w:p>
    <w:p w14:paraId="2B6D6F8C">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论题：主导产业的有序更替是英国等发达国家工业化的重要经验。</w:t>
      </w:r>
    </w:p>
    <w:p w14:paraId="4BFEC688">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阐述：英国等发达国家工业化进程中主导产业的有序更替，为发展中国家提供了宝贵经验。其核心经验在于顺应生产力发展趋势，以高增长、强关联的主导产业带动整体经济跃升，且主导产业按"轻工业—重工业—新兴产业”的次序动态演进。</w:t>
      </w:r>
    </w:p>
    <w:p w14:paraId="0080B70D">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工业革命初期，棉纺织业成为英国首个主导产业。珍妮纺纱机、水力织布机等技术革新使棉纺织业增长率大幅提升，其前向带动了殖民地的棉花种植，后向促进了机械制造、动力革新，瓦特蒸汽机的普及正是源于棉纺织业对稳定动力的需求。这一阶段，棉纺织业通过产业链关联，推动英国初步实现工业化转型。</w:t>
      </w:r>
    </w:p>
    <w:p w14:paraId="184D3E41">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19世纪中期，钢铁、铁路等重工业取代棉纺织业成为主导。钢铁产业的发展为铁路建设提供关键材料，而铁路网络的扩张又带动了煤炭、机械、运输等产业的繁荣，形成"钢铁—铁路”联动的产业集群。这种前向与后向关联，使英国工业生产效率大幅提升，确立了“世界工厂”地位。</w:t>
      </w:r>
    </w:p>
    <w:p w14:paraId="7414AFFC">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20世纪以来，电子、信息技术等新兴产业成为新主导。英国等发达国家在计算机、生物科技等领域的突破，延续了主导产业高增长、强关联的特征，带动了服务业、高端制造业的发展，实现了工业化的转型升级。</w:t>
      </w:r>
    </w:p>
    <w:p w14:paraId="33A80F6A">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总之，英国等发达国家工业化的成功，关键在于其主导产业始终具备高增长率和强产业关联，且能按生产力发展规律有序更替。发展中国家可借鉴这一经验，根据自身国情选择适配的主导产业，通过产业关联效应推动经济全面发展，避免工业化进程中的盲目探索。</w:t>
      </w:r>
    </w:p>
    <w:p w14:paraId="194A22D8">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示例二</w:t>
      </w:r>
    </w:p>
    <w:p w14:paraId="1C3BFC61">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论题：科技赋能是美国工业化的后发超越经验。</w:t>
      </w:r>
    </w:p>
    <w:p w14:paraId="22037A44">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阐述：美国作为后起国家，其工业化的成功关键在于始终以科技为核心驱动力，通过技术革新实现主导产业迭代，最终完成对老牌工业国的超越，为发展中国家提供了宝贵经验。</w:t>
      </w:r>
    </w:p>
    <w:p w14:paraId="0562E7D1">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19世纪中期，美国抓住第一次工业革命的机遇，大力引进并革新蒸汽技术。富尔顿发明的汽船改善了内河运输，伊利运河与铁路网络的建设结合蒸汽机车技术，使美国形成贯通东西的交通体系，带动了煤炭、钢铁等产业的繁荣。同时，美国重视技术创新，爱迪生的电灯、贝尔的电话等发明推动电力技术初步应用，为第二次工业革命奠定基础。</w:t>
      </w:r>
    </w:p>
    <w:p w14:paraId="7146D308">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第二次工业革命时期，美国实现技术突破与产业升级。电力技术的广泛应用催生了电气工业、汽车工业等新兴产业，福特T型车的流水线生产技术革新了制造业模式，使美国汽车产量跃居世界第一。石油化工、航空航天等领域的技术突破，进一步巩固了美国的工业优势，使其在20世纪初取代英国成为“世界工厂”。</w:t>
      </w:r>
    </w:p>
    <w:p w14:paraId="2329C672">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二战后，美国聚焦高新技术产业，以计算机、原子能、生物科技为核心．引领现代科技革命。电子计算机的发明与互联网的普及，推动美国进入信息时代，硅谷成为全球科技创新中心，带动了高端制造业、服务业的协同发展，持续保持工业领先地位。</w:t>
      </w:r>
    </w:p>
    <w:p w14:paraId="5C042AA2">
      <w:pPr>
        <w:spacing w:line="360" w:lineRule="auto"/>
        <w:ind w:left="42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总之，美国工业化的后发超越：本质是科技驱动下的产业升级之路。发展中国家应借鉴这一经验，重视科技研发与创新，通过技术突破培育新兴主导产业，借助科技的后发效应实现工业化的跨越式发展。</w:t>
      </w:r>
    </w:p>
    <w:p w14:paraId="015B7079">
      <w:pPr>
        <w:spacing w:line="360" w:lineRule="auto"/>
        <w:ind w:left="420"/>
        <w:jc w:val="left"/>
        <w:textAlignment w:val="center"/>
        <w:rPr>
          <w:color w:val="000000" w:themeColor="text1"/>
          <w14:textFill>
            <w14:solidFill>
              <w14:schemeClr w14:val="tx1"/>
            </w14:solidFill>
          </w14:textFill>
        </w:rPr>
      </w:pPr>
    </w:p>
    <w:sectPr>
      <w:headerReference r:id="rId3" w:type="default"/>
      <w:footerReference r:id="rId4" w:type="default"/>
      <w:footerReference r:id="rId5" w:type="even"/>
      <w:pgSz w:w="11907" w:h="16839"/>
      <w:pgMar w:top="1440" w:right="1083" w:bottom="1440" w:left="1083"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EC8F">
    <w:pPr>
      <w:jc w:val="center"/>
    </w:pPr>
    <w:r>
      <w:rPr>
        <w:rFonts w:eastAsia="Times New Roman"/>
      </w:rPr>
      <w:fldChar w:fldCharType="begin"/>
    </w:r>
    <w:r>
      <w:rPr>
        <w:rFonts w:eastAsia="Times New Roman"/>
      </w:rPr>
      <w:instrText xml:space="preserve">PAGE</w:instrText>
    </w:r>
    <w:r>
      <w:rPr>
        <w:rFonts w:eastAsia="Times New Roman"/>
      </w:rPr>
      <w:fldChar w:fldCharType="separate"/>
    </w:r>
    <w:r>
      <w:rPr>
        <w:rFonts w:eastAsia="Times New Roman"/>
      </w:rPr>
      <w:t>4</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 xml:space="preserve">NUMPAGES</w:instrText>
    </w:r>
    <w:r>
      <w:rPr>
        <w:rFonts w:eastAsia="Times New Roman"/>
      </w:rPr>
      <w:fldChar w:fldCharType="separate"/>
    </w:r>
    <w:r>
      <w:rPr>
        <w:rFonts w:eastAsia="Times New Roman"/>
      </w:rPr>
      <w:t>4</w:t>
    </w:r>
    <w:r>
      <w:rPr>
        <w:rFonts w:eastAsia="Times New Roman"/>
      </w:rPr>
      <w:fldChar w:fldCharType="end"/>
    </w:r>
  </w:p>
  <w:p w14:paraId="7A7DB41E">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5EC2">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22</w:instrText>
    </w:r>
    <w:r>
      <w:fldChar w:fldCharType="end"/>
    </w:r>
    <w:r>
      <w:instrText xml:space="preserve"> </w:instrText>
    </w:r>
    <w:r>
      <w:fldChar w:fldCharType="separate"/>
    </w:r>
    <w:r>
      <w:t>22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ED2B6"/>
  <w:p w14:paraId="7C83D11F">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3MjMxZTZlYTU2ZTY5ZTQyZDBkM2M2NzE0YTlhODIifQ=="/>
  </w:docVars>
  <w:rsids>
    <w:rsidRoot w:val="00C806B0"/>
    <w:rsid w:val="00043B54"/>
    <w:rsid w:val="00044BD3"/>
    <w:rsid w:val="00052438"/>
    <w:rsid w:val="0007214B"/>
    <w:rsid w:val="0007235F"/>
    <w:rsid w:val="000876C3"/>
    <w:rsid w:val="000B7F9A"/>
    <w:rsid w:val="0011415B"/>
    <w:rsid w:val="0014309C"/>
    <w:rsid w:val="00166A4A"/>
    <w:rsid w:val="00183CB9"/>
    <w:rsid w:val="001D7A06"/>
    <w:rsid w:val="00201828"/>
    <w:rsid w:val="002577BA"/>
    <w:rsid w:val="002767BF"/>
    <w:rsid w:val="00284433"/>
    <w:rsid w:val="002A197F"/>
    <w:rsid w:val="002A1EC6"/>
    <w:rsid w:val="002D22FC"/>
    <w:rsid w:val="002D23FD"/>
    <w:rsid w:val="002E035E"/>
    <w:rsid w:val="002E364F"/>
    <w:rsid w:val="002E664A"/>
    <w:rsid w:val="00371578"/>
    <w:rsid w:val="00385B50"/>
    <w:rsid w:val="003D64B6"/>
    <w:rsid w:val="003E64E6"/>
    <w:rsid w:val="003F2C73"/>
    <w:rsid w:val="0041230C"/>
    <w:rsid w:val="0041487A"/>
    <w:rsid w:val="004151FC"/>
    <w:rsid w:val="00460ECB"/>
    <w:rsid w:val="00471F4B"/>
    <w:rsid w:val="0048744B"/>
    <w:rsid w:val="00495078"/>
    <w:rsid w:val="004A6E9D"/>
    <w:rsid w:val="004C0567"/>
    <w:rsid w:val="004D5AFC"/>
    <w:rsid w:val="004E26F5"/>
    <w:rsid w:val="004E7122"/>
    <w:rsid w:val="00545D58"/>
    <w:rsid w:val="00592580"/>
    <w:rsid w:val="005B5EBA"/>
    <w:rsid w:val="0060144C"/>
    <w:rsid w:val="006309A3"/>
    <w:rsid w:val="0064056B"/>
    <w:rsid w:val="00654992"/>
    <w:rsid w:val="006628D8"/>
    <w:rsid w:val="0068092B"/>
    <w:rsid w:val="006B16C5"/>
    <w:rsid w:val="006C48D1"/>
    <w:rsid w:val="006D1F20"/>
    <w:rsid w:val="00715045"/>
    <w:rsid w:val="007371D4"/>
    <w:rsid w:val="0075073F"/>
    <w:rsid w:val="00776133"/>
    <w:rsid w:val="007962E1"/>
    <w:rsid w:val="007F1D66"/>
    <w:rsid w:val="0080775F"/>
    <w:rsid w:val="00836B6A"/>
    <w:rsid w:val="008546BF"/>
    <w:rsid w:val="00882679"/>
    <w:rsid w:val="008A6491"/>
    <w:rsid w:val="008C07DE"/>
    <w:rsid w:val="009029DB"/>
    <w:rsid w:val="009167C2"/>
    <w:rsid w:val="009236DE"/>
    <w:rsid w:val="009C54DF"/>
    <w:rsid w:val="009E7A99"/>
    <w:rsid w:val="009F2FD8"/>
    <w:rsid w:val="00A11903"/>
    <w:rsid w:val="00A23362"/>
    <w:rsid w:val="00A23EEC"/>
    <w:rsid w:val="00A30CCE"/>
    <w:rsid w:val="00A31FED"/>
    <w:rsid w:val="00A50F8C"/>
    <w:rsid w:val="00A57F0D"/>
    <w:rsid w:val="00A74346"/>
    <w:rsid w:val="00A76524"/>
    <w:rsid w:val="00A839B9"/>
    <w:rsid w:val="00A944CD"/>
    <w:rsid w:val="00AB2888"/>
    <w:rsid w:val="00AB3F12"/>
    <w:rsid w:val="00AC3E9C"/>
    <w:rsid w:val="00AF55ED"/>
    <w:rsid w:val="00B15F49"/>
    <w:rsid w:val="00B2092B"/>
    <w:rsid w:val="00B222D2"/>
    <w:rsid w:val="00B27F22"/>
    <w:rsid w:val="00B41FD9"/>
    <w:rsid w:val="00B647E7"/>
    <w:rsid w:val="00B714BF"/>
    <w:rsid w:val="00B77A72"/>
    <w:rsid w:val="00B87230"/>
    <w:rsid w:val="00BA17C1"/>
    <w:rsid w:val="00BA55BD"/>
    <w:rsid w:val="00BB3FEE"/>
    <w:rsid w:val="00BC4F14"/>
    <w:rsid w:val="00BC6044"/>
    <w:rsid w:val="00BE50E3"/>
    <w:rsid w:val="00BE7F09"/>
    <w:rsid w:val="00BF535F"/>
    <w:rsid w:val="00C02FC6"/>
    <w:rsid w:val="00C22E6D"/>
    <w:rsid w:val="00C76DDF"/>
    <w:rsid w:val="00C806B0"/>
    <w:rsid w:val="00CE0039"/>
    <w:rsid w:val="00CE4B71"/>
    <w:rsid w:val="00CF6C29"/>
    <w:rsid w:val="00D030BE"/>
    <w:rsid w:val="00D04640"/>
    <w:rsid w:val="00D15D78"/>
    <w:rsid w:val="00D26AF8"/>
    <w:rsid w:val="00D318CD"/>
    <w:rsid w:val="00D471CC"/>
    <w:rsid w:val="00D71F5D"/>
    <w:rsid w:val="00D90917"/>
    <w:rsid w:val="00DC0E95"/>
    <w:rsid w:val="00E00B69"/>
    <w:rsid w:val="00E14372"/>
    <w:rsid w:val="00E266BB"/>
    <w:rsid w:val="00E367B9"/>
    <w:rsid w:val="00E4167C"/>
    <w:rsid w:val="00E41C42"/>
    <w:rsid w:val="00E476EE"/>
    <w:rsid w:val="00E80F4B"/>
    <w:rsid w:val="00E83A02"/>
    <w:rsid w:val="00EA5473"/>
    <w:rsid w:val="00EB7DDD"/>
    <w:rsid w:val="00EE6B20"/>
    <w:rsid w:val="00EF035E"/>
    <w:rsid w:val="00EF3342"/>
    <w:rsid w:val="00EF526D"/>
    <w:rsid w:val="00F1352F"/>
    <w:rsid w:val="00F31CEE"/>
    <w:rsid w:val="00F942D5"/>
    <w:rsid w:val="00FA68DF"/>
    <w:rsid w:val="43660C7B"/>
    <w:rsid w:val="4C941DC3"/>
    <w:rsid w:val="7A8E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1"/>
    <w:rPr>
      <w:szCs w:val="21"/>
    </w:rPr>
  </w:style>
  <w:style w:type="paragraph" w:styleId="3">
    <w:name w:val="toc 5"/>
    <w:basedOn w:val="1"/>
    <w:next w:val="1"/>
    <w:qFormat/>
    <w:uiPriority w:val="0"/>
    <w:pPr>
      <w:wordWrap w:val="0"/>
      <w:ind w:left="1275"/>
    </w:pPr>
    <w:rPr>
      <w:rFonts w:ascii="宋体" w:hAnsi="宋体" w:eastAsia="Times New Roman"/>
      <w:kern w:val="0"/>
      <w:sz w:val="20"/>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 w:type="paragraph" w:customStyle="1" w:styleId="13">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750B9A-A705-4835-B59A-B3A164CE82EE}">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2952</Words>
  <Characters>2988</Characters>
  <Lines>21</Lines>
  <Paragraphs>6</Paragraphs>
  <TotalTime>2</TotalTime>
  <ScaleCrop>false</ScaleCrop>
  <LinksUpToDate>false</LinksUpToDate>
  <CharactersWithSpaces>2988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2026-04-24T10:23:00Z</dcterms:created>
  <dc:creator>WSJ</dc:creator>
  <dc:description>原创精品资源学科网独家享有版权，侵权必究！</dc:description>
  <cp:lastModifiedBy>独秀山</cp:lastModifiedBy>
  <dcterms:modified xsi:type="dcterms:W3CDTF">2026-05-26T02:44:43Z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eyJoZGlkIjoiZWZiNmNkMTdjMGEwMTkxM2MzNzRlMDgyMWY5MzA4ZGIiLCJ1c2VySWQiOiIxMjY2NDk1MTc2In0=</vt:lpwstr>
  </property>
  <property fmtid="{D5CDD505-2E9C-101B-9397-08002B2CF9AE}" pid="7" name="KSOProductBuildVer">
    <vt:lpwstr>2052-12.1.0.26375</vt:lpwstr>
  </property>
  <property fmtid="{D5CDD505-2E9C-101B-9397-08002B2CF9AE}" pid="8" name="ICV">
    <vt:lpwstr>9FC288779AB249339F4016E52FD2407B_12</vt:lpwstr>
  </property>
</Properties>
</file>