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5A52">
      <w:pPr>
        <w:widowControl/>
        <w:spacing w:line="360" w:lineRule="auto"/>
        <w:ind w:left="315"/>
        <w:jc w:val="center"/>
        <w:textAlignment w:val="center"/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11010900</wp:posOffset>
            </wp:positionV>
            <wp:extent cx="330200" cy="444500"/>
            <wp:effectExtent l="0" t="0" r="12700" b="1270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2026年高考考前最后一卷（浙江专用）</w:t>
      </w:r>
    </w:p>
    <w:p w14:paraId="58408A71">
      <w:pPr>
        <w:tabs>
          <w:tab w:val="left" w:pos="2551"/>
          <w:tab w:val="left" w:pos="4677"/>
          <w:tab w:val="left" w:pos="6803"/>
        </w:tabs>
        <w:spacing w:line="360" w:lineRule="auto"/>
        <w:ind w:left="315"/>
        <w:jc w:val="center"/>
        <w:textAlignment w:val="center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历史</w:t>
      </w:r>
      <w:r>
        <w:rPr>
          <w:rFonts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·答案及评分标准</w:t>
      </w:r>
    </w:p>
    <w:p w14:paraId="2D502E13">
      <w:pPr>
        <w:overflowPunct w:val="0"/>
        <w:adjustRightInd w:val="0"/>
        <w:spacing w:line="360" w:lineRule="auto"/>
        <w:textAlignment w:val="center"/>
        <w:rPr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spacing w:val="2"/>
          <w:szCs w:val="21"/>
          <w14:textFill>
            <w14:solidFill>
              <w14:schemeClr w14:val="tx1"/>
            </w14:solidFill>
          </w14:textFill>
        </w:rPr>
        <w:t>一、选择题I（</w:t>
      </w:r>
      <w:r>
        <w:rPr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本题共5小题，每小题2分，共10分。在每小题给出的四个选项中，只有一项符合题目要求。）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24"/>
        <w:gridCol w:w="765"/>
        <w:gridCol w:w="823"/>
        <w:gridCol w:w="864"/>
      </w:tblGrid>
      <w:tr w14:paraId="644A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2FC2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7CC5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C331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145C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1FC7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AC9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873F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AE1F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C602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6548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D4BB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</w:tbl>
    <w:p w14:paraId="5887A705">
      <w:pPr>
        <w:spacing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二、选择题II（本题共12小题，每小题3分，共36分。在每小题给出的四个选项中，只有一项符合题目要求。）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14:paraId="04A5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8C49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7E7A">
            <w:pPr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562D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4507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14F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89FF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5A74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6D5E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C67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E5E3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F283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66D5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367E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EDE2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815D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41F5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14AC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8A7C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3E4D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D674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79D2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B9A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9397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FDD0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7623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</w:tbl>
    <w:p w14:paraId="1A8ECFFC">
      <w:pPr>
        <w:spacing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三、非选择题（本大题共4小题，其中第18题16分，第19题10分，第20题16分，第21题12分，共54分）。</w:t>
      </w:r>
    </w:p>
    <w:p w14:paraId="204115BE">
      <w:pPr>
        <w:spacing w:line="360" w:lineRule="auto"/>
        <w:ind w:left="420" w:hanging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18．【答案】（1）特征：起源早，历史悠久；以“德主刑辅”为基调；礼法结合（或“礼刑合一”）；历代因时损益（或“继承发展”）。（4分）</w:t>
      </w:r>
    </w:p>
    <w:p w14:paraId="28C5224F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原因：小农经济长期占主导地位；宗法观念根深蒂固；儒家思想成为封建社会主流意识形态；统治者稳固统治的需要。（4分）</w:t>
      </w:r>
    </w:p>
    <w:p w14:paraId="0D2E4FF7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（2）“变”：法律原则从礼法结合到罪刑法定；法律思想从“德主刑辅”到“依法治国”与“以德治国”相结合；法律体系从传统法律到现代法治。（3点3分）</w:t>
      </w:r>
    </w:p>
    <w:p w14:paraId="0BDFC5EA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“不变”：重视法律的教化作用；追求社会治理的和谐有序。（2分）</w:t>
      </w:r>
    </w:p>
    <w:p w14:paraId="29182F07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现实价值：推动国家治理体系和治理能力现代化；促进社会公平正义；为实现中华民族伟大复兴提供法治保障。（3分）</w:t>
      </w:r>
    </w:p>
    <w:p w14:paraId="547F4733">
      <w:pPr>
        <w:spacing w:line="360" w:lineRule="auto"/>
        <w:ind w:left="420" w:hanging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19．【答案】观点：16—18世纪，随着全球航海时代到来，西班牙通过“马尼拉帆船”开辟横跨太平洋的贸易航线，将月港纳入全球贸易体系。（2分）</w:t>
      </w:r>
    </w:p>
    <w:p w14:paraId="34D4C8B6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理由：由于泉州世界港口地位丧失，“隆庆开海”等因素，漳州月港后来居上，成为当时中国对外贸易的主要港口。这一时期，美洲物种的传入丰富了中华传统农耕与饮食文化，养活了更多人口，提升了土地的利用率；同时，大量白银注入，促进明清时期的白银货币化，商品经济进一步发展。（6分）</w:t>
      </w:r>
    </w:p>
    <w:p w14:paraId="7DE19268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综上所述，这一过程体现了区域海洋文化传统与全球化贸易网络的深度融合，使月港成为“新海上丝绸之路”的核心枢纽。（2分）</w:t>
      </w:r>
    </w:p>
    <w:p w14:paraId="464489E7">
      <w:pPr>
        <w:spacing w:line="360" w:lineRule="auto"/>
        <w:ind w:left="420" w:hanging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20．【答案】（1）趋势：从多元并立走向交流交融。（2分）</w:t>
      </w:r>
    </w:p>
    <w:p w14:paraId="579E3ACB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新现象：说希腊语；模仿希腊人的生活方式；亚历山大城成为新的希腊文化中心和埃及都城；缪斯宫收藏大量文化典籍；统治者为马其顿人，戴着传统的法老王冠。（任4点4分）</w:t>
      </w:r>
    </w:p>
    <w:p w14:paraId="73A657F0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（2）战略地位：苏伊士运河连接了红海和地中海，成为西欧和南业、东亚之间最近、最直接的水上通道。（4分）</w:t>
      </w:r>
    </w:p>
    <w:p w14:paraId="5F7F62E0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影响：埃及在长期受到法国与英国的殖民统治后，主动接受西方的思想和技术，促进埃及资本主义的发展；独立后实行君主立宪制，但也努力保护传统文化，在社会生活中，伊斯兰教仍然是其主要宗教，阿拉伯民族的传统生活方式也得以保留，使其文化呈现出新的多样性。（6分）</w:t>
      </w:r>
    </w:p>
    <w:p w14:paraId="5432C17E">
      <w:pPr>
        <w:spacing w:line="360" w:lineRule="auto"/>
        <w:ind w:left="420" w:hanging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21．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（12分）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【答案】示例一军服变迁：映照人民军队成长与国家崛起之路。</w:t>
      </w:r>
    </w:p>
    <w:p w14:paraId="5D06FF6B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人民军队军服的历次变革，不仅是军队外在形象的改变，更深度映射出军队正规化、现代化建设的历程，与国家发展、国力兴衰紧密相连。</w:t>
      </w:r>
    </w:p>
    <w:p w14:paraId="0A6B6B11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军服的统一与完善，是人民军队走向正规化的核心标志。红军时期，革命条件极度艰苦，物资匮乏，军服样式杂乱、无统一标准，反映出初创时期军队后勤保障的薄弱；抗日战争时期，军队军服依赖外部供给，样式不统一，凸显出战争年代军队建设的艰难；解放战争后期，随着革命形势好转，军队逐步实现军服统一生产，为军队正规化建设奠定基础。新中国成立后，“五O式”军服实现全军军服统一，“五五式”军服配套军衔制推出礼服、常服，军队着装体系化形成，标志着人民军队全面迈入正规化建设阶段；改革开放后，“八七式”军服及驻港部队新式军服走向功能化、国际化，彰显军队现代化建设的跨越式发展。</w:t>
      </w:r>
    </w:p>
    <w:p w14:paraId="190DFF27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军服的材质与保障能力，是国家综合国力的直观体现。革命战争年代，军服依靠土法染制、手工缝补，纺织工业的落后制约军服生产；新中国成立后，我国逐步建立自主军工被服生产体系，纺织、化工工业不断发展，军服面料、工艺持续升级；改革开放后，国家经济实力、科技实力大幅提升，军服研发融入现代科技，兼具实用性、美观性与专业性，成为国家工业实力、经济实力增强的直接体现。</w:t>
      </w:r>
    </w:p>
    <w:p w14:paraId="30C217A1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综上，军服的变迁史，就是人民军队从弱小走向强大、国家从贫弱走向富强的历史。军服的每一次迭代，都离不开国家发展的支撑，而军队的强大又为国家发展保驾护航，二者相辅相成，共同书写中华民族的复兴征程。</w:t>
      </w:r>
    </w:p>
    <w:p w14:paraId="54F89489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示例二以军服为镜，观军队建设与国家发展同频共振</w:t>
      </w:r>
    </w:p>
    <w:p w14:paraId="2E6D0529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军服作为军人的身份标识，其变迁始终与人民军队建设步伐、国家发展进程同频共振，是见证强军之路与强国之路的重要载体。</w:t>
      </w:r>
    </w:p>
    <w:p w14:paraId="1EA0EB79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人民军队军服建设，始终紧跟军队正规化、现代化建设步伐。从建军初期的无统一军服，到新中国成立后实现全军军服统一，解决了军队后勤保障的基础问题，是军队走向规范化的第一步；从单一军服样式，到礼服、常服、作训服分类细化，贴合军队不同场景需求，顺应了现代军队专业化建设需求；从本土样式到与国际军服标准接轨，展现了人民军队开放、自信的建设姿态，推动军队现代化水平不断提升。军服的每一次优化，都是军队建设理念升级、作战保障能力提升的直接反映。</w:t>
      </w:r>
    </w:p>
    <w:p w14:paraId="674A956D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军服发展始终依托国家发展，是国家实力的外在彰显。国家经济的发展，为军服生产提供充足的资金支持；国家工业体系的完善，为军服面料、工艺升级提供技术保障；国家综合国力的提升，让军队有条件打造现代化、专业化的军服体系。可以说，没有国家的独立、经济的复苏、工业的进步，就没有人民军队军服的迭代升级。同时，强大的军队为国家发展筑牢安全屏障，国家稳定发展又反哺军队建设，形成良性循环。</w:t>
      </w:r>
    </w:p>
    <w:p w14:paraId="3240DC70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小小军服，承载着强军与强国的双重使命。它见证了人民军队的成长蜕变，也记录了国家从积贫积弱到繁荣富强的伟大跨越，深刻印证了“强国必须强军，军强才能国安”的历史真理。论题明确，紧扣“军服变迁与军队建设、国家发展”核心主题；从军队建设、国家发展两个维度充分论证，史实详实、贴合材料且史论结合；逻辑严密、结构完整、表述规范。</w:t>
      </w:r>
    </w:p>
    <w:p w14:paraId="45A0EAC5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论题拟定：论题需涵盖军服变迁、军队建设、国家发展三者关联，简洁明确。</w:t>
      </w:r>
    </w:p>
    <w:p w14:paraId="37A746F8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论证过程：军队建设维度：结合红军、抗战、解放战争、新中国成立后、改革开放等时期军服变化，分析军队正规化、现代化发展历程，史实准确、分析到位得分；国家发展维度：关联国家经济、工业、综合国力，分析军服变迁与国家实力的关联，史论结合。</w:t>
      </w:r>
    </w:p>
    <w:p w14:paraId="47F828FE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逻辑表述：结构完整（开头立论-中间论证-结尾总结）、逻辑清晰、语言规范。</w:t>
      </w:r>
    </w:p>
    <w:p w14:paraId="295B770A">
      <w:pPr>
        <w:spacing w:line="360" w:lineRule="auto"/>
        <w:ind w:left="42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083" w:bottom="1440" w:left="1083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7B17A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 xml:space="preserve">PAGE</w:instrText>
    </w:r>
    <w:r>
      <w:rPr>
        <w:rFonts w:eastAsia="Times New Roman"/>
      </w:rPr>
      <w:fldChar w:fldCharType="separate"/>
    </w:r>
    <w:r>
      <w:rPr>
        <w:rFonts w:eastAsia="Times New Roman"/>
      </w:rPr>
      <w:t>3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NUMPAGES</w:instrText>
    </w:r>
    <w:r>
      <w:rPr>
        <w:rFonts w:eastAsia="Times New Roman"/>
      </w:rPr>
      <w:fldChar w:fldCharType="separate"/>
    </w:r>
    <w:r>
      <w:rPr>
        <w:rFonts w:eastAsia="Times New Roman"/>
      </w:rPr>
      <w:t>3</w:t>
    </w:r>
    <w:r>
      <w:rPr>
        <w:rFonts w:eastAsia="Times New Roman"/>
      </w:rPr>
      <w:fldChar w:fldCharType="end"/>
    </w:r>
  </w:p>
  <w:p w14:paraId="1BC9188F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6BDED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22</w:instrText>
    </w:r>
    <w:r>
      <w:fldChar w:fldCharType="end"/>
    </w:r>
    <w:r>
      <w:instrText xml:space="preserve"> </w:instrText>
    </w:r>
    <w:r>
      <w:fldChar w:fldCharType="separate"/>
    </w:r>
    <w:r>
      <w:t>22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7DB4"/>
  <w:p w14:paraId="7400957B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3MjMxZTZlYTU2ZTY5ZTQyZDBkM2M2NzE0YTlhODIifQ=="/>
  </w:docVars>
  <w:rsids>
    <w:rsidRoot w:val="00C806B0"/>
    <w:rsid w:val="00043B54"/>
    <w:rsid w:val="00044BD3"/>
    <w:rsid w:val="00052438"/>
    <w:rsid w:val="0007214B"/>
    <w:rsid w:val="0007235F"/>
    <w:rsid w:val="000876C3"/>
    <w:rsid w:val="000B7F9A"/>
    <w:rsid w:val="000E1457"/>
    <w:rsid w:val="0011415B"/>
    <w:rsid w:val="0014309C"/>
    <w:rsid w:val="00166A4A"/>
    <w:rsid w:val="00183CB9"/>
    <w:rsid w:val="001D7A06"/>
    <w:rsid w:val="00201828"/>
    <w:rsid w:val="00214D15"/>
    <w:rsid w:val="002577BA"/>
    <w:rsid w:val="002767BF"/>
    <w:rsid w:val="00284433"/>
    <w:rsid w:val="002A197F"/>
    <w:rsid w:val="002A1EC6"/>
    <w:rsid w:val="002D22FC"/>
    <w:rsid w:val="002D23FD"/>
    <w:rsid w:val="002E035E"/>
    <w:rsid w:val="002E364F"/>
    <w:rsid w:val="002E664A"/>
    <w:rsid w:val="0033766E"/>
    <w:rsid w:val="00371578"/>
    <w:rsid w:val="00385B50"/>
    <w:rsid w:val="003D64B6"/>
    <w:rsid w:val="003E64E6"/>
    <w:rsid w:val="003F2C73"/>
    <w:rsid w:val="0041230C"/>
    <w:rsid w:val="0041487A"/>
    <w:rsid w:val="004151FC"/>
    <w:rsid w:val="00460ECB"/>
    <w:rsid w:val="00471F4B"/>
    <w:rsid w:val="0048744B"/>
    <w:rsid w:val="00495078"/>
    <w:rsid w:val="004A6E9D"/>
    <w:rsid w:val="004B30F1"/>
    <w:rsid w:val="004C0567"/>
    <w:rsid w:val="004D5AFC"/>
    <w:rsid w:val="004E26F5"/>
    <w:rsid w:val="004E7122"/>
    <w:rsid w:val="0053636A"/>
    <w:rsid w:val="00545D58"/>
    <w:rsid w:val="00592580"/>
    <w:rsid w:val="005B5EBA"/>
    <w:rsid w:val="0060144C"/>
    <w:rsid w:val="006309A3"/>
    <w:rsid w:val="0064056B"/>
    <w:rsid w:val="00654992"/>
    <w:rsid w:val="006628D8"/>
    <w:rsid w:val="0068092B"/>
    <w:rsid w:val="006B16C5"/>
    <w:rsid w:val="006C48D1"/>
    <w:rsid w:val="006D1F20"/>
    <w:rsid w:val="00715045"/>
    <w:rsid w:val="007371D4"/>
    <w:rsid w:val="0075073F"/>
    <w:rsid w:val="00776133"/>
    <w:rsid w:val="007962E1"/>
    <w:rsid w:val="007F1D66"/>
    <w:rsid w:val="0080775F"/>
    <w:rsid w:val="00836B6A"/>
    <w:rsid w:val="008546BF"/>
    <w:rsid w:val="00882679"/>
    <w:rsid w:val="008A6491"/>
    <w:rsid w:val="008C07DE"/>
    <w:rsid w:val="009029DB"/>
    <w:rsid w:val="009167C2"/>
    <w:rsid w:val="009236DE"/>
    <w:rsid w:val="009C54DF"/>
    <w:rsid w:val="009E7A99"/>
    <w:rsid w:val="009F2FD8"/>
    <w:rsid w:val="00A11903"/>
    <w:rsid w:val="00A23362"/>
    <w:rsid w:val="00A23EEC"/>
    <w:rsid w:val="00A30CCE"/>
    <w:rsid w:val="00A31FED"/>
    <w:rsid w:val="00A50F8C"/>
    <w:rsid w:val="00A57F0D"/>
    <w:rsid w:val="00A74346"/>
    <w:rsid w:val="00A76524"/>
    <w:rsid w:val="00A839B9"/>
    <w:rsid w:val="00A944CD"/>
    <w:rsid w:val="00AB2888"/>
    <w:rsid w:val="00AB3F12"/>
    <w:rsid w:val="00AC3E9C"/>
    <w:rsid w:val="00AF55ED"/>
    <w:rsid w:val="00B15F49"/>
    <w:rsid w:val="00B2092B"/>
    <w:rsid w:val="00B222D2"/>
    <w:rsid w:val="00B27F22"/>
    <w:rsid w:val="00B41FD9"/>
    <w:rsid w:val="00B647E7"/>
    <w:rsid w:val="00B714BF"/>
    <w:rsid w:val="00B77A72"/>
    <w:rsid w:val="00B87230"/>
    <w:rsid w:val="00BA17C1"/>
    <w:rsid w:val="00BA55BD"/>
    <w:rsid w:val="00BB3FEE"/>
    <w:rsid w:val="00BC4F14"/>
    <w:rsid w:val="00BC6044"/>
    <w:rsid w:val="00BE50E3"/>
    <w:rsid w:val="00BE7F09"/>
    <w:rsid w:val="00BF535F"/>
    <w:rsid w:val="00C02FC6"/>
    <w:rsid w:val="00C22E6D"/>
    <w:rsid w:val="00C76DDF"/>
    <w:rsid w:val="00C806B0"/>
    <w:rsid w:val="00CE4B71"/>
    <w:rsid w:val="00CF6C29"/>
    <w:rsid w:val="00D030BE"/>
    <w:rsid w:val="00D04640"/>
    <w:rsid w:val="00D26AF8"/>
    <w:rsid w:val="00D318CD"/>
    <w:rsid w:val="00D471CC"/>
    <w:rsid w:val="00D614C0"/>
    <w:rsid w:val="00D71F5D"/>
    <w:rsid w:val="00D90917"/>
    <w:rsid w:val="00DC0E95"/>
    <w:rsid w:val="00E00B69"/>
    <w:rsid w:val="00E14372"/>
    <w:rsid w:val="00E266BB"/>
    <w:rsid w:val="00E338B5"/>
    <w:rsid w:val="00E367B9"/>
    <w:rsid w:val="00E4167C"/>
    <w:rsid w:val="00E476EE"/>
    <w:rsid w:val="00E80F4B"/>
    <w:rsid w:val="00E83A02"/>
    <w:rsid w:val="00EA5473"/>
    <w:rsid w:val="00EB7DDD"/>
    <w:rsid w:val="00EE6B20"/>
    <w:rsid w:val="00EF035E"/>
    <w:rsid w:val="00EF3342"/>
    <w:rsid w:val="00EF526D"/>
    <w:rsid w:val="00F1352F"/>
    <w:rsid w:val="00F31CEE"/>
    <w:rsid w:val="00F942D5"/>
    <w:rsid w:val="00FA68DF"/>
    <w:rsid w:val="02956DE1"/>
    <w:rsid w:val="43660C7B"/>
    <w:rsid w:val="4C9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Cs w:val="21"/>
    </w:rPr>
  </w:style>
  <w:style w:type="paragraph" w:styleId="3">
    <w:name w:val="toc 5"/>
    <w:basedOn w:val="1"/>
    <w:next w:val="1"/>
    <w:qFormat/>
    <w:uiPriority w:val="0"/>
    <w:pPr>
      <w:wordWrap w:val="0"/>
      <w:ind w:left="1275"/>
    </w:pPr>
    <w:rPr>
      <w:rFonts w:ascii="宋体" w:hAnsi="宋体" w:eastAsia="Times New Roman"/>
      <w:kern w:val="0"/>
      <w:sz w:val="20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C6DDC-2133-415B-B6F0-9BE7288301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2486</Words>
  <Characters>2519</Characters>
  <Lines>18</Lines>
  <Paragraphs>5</Paragraphs>
  <TotalTime>2</TotalTime>
  <ScaleCrop>false</ScaleCrop>
  <LinksUpToDate>false</LinksUpToDate>
  <CharactersWithSpaces>2519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2026-04-27T10:24:00Z</dcterms:created>
  <dc:creator>WSJ</dc:creator>
  <dc:description>原创精品资源学科网独家享有版权，侵权必究！</dc:description>
  <cp:lastModifiedBy>独秀山</cp:lastModifiedBy>
  <dcterms:modified xsi:type="dcterms:W3CDTF">2026-05-26T02:49:17Z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eyJoZGlkIjoiZWZiNmNkMTdjMGEwMTkxM2MzNzRlMDgyMWY5MzA4ZGIiLCJ1c2VySWQiOiIxMjY2NDk1MTc2In0=</vt:lpwstr>
  </property>
  <property fmtid="{D5CDD505-2E9C-101B-9397-08002B2CF9AE}" pid="7" name="KSOProductBuildVer">
    <vt:lpwstr>2052-12.1.0.26375</vt:lpwstr>
  </property>
  <property fmtid="{D5CDD505-2E9C-101B-9397-08002B2CF9AE}" pid="8" name="ICV">
    <vt:lpwstr>1EBD5201D1D645179856286181ADE741_12</vt:lpwstr>
  </property>
</Properties>
</file>