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media/image4.svg" ContentType="image/svg+xml"/>
  <Override PartName="/word/media/image6.svg" ContentType="image/sv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D80DE0E">
      <w:pPr>
        <w:rPr>
          <w:rFonts w:ascii="Times New Roman" w:hAnsi="Times New Roman" w:eastAsiaTheme="minorEastAsia" w:cs="Times New Roman" w:hint="eastAsia"/>
          <w:lang w:eastAsia="zh-CN"/>
        </w:rPr>
      </w:pPr>
      <w:r>
        <w:rPr>
          <w:rFonts w:ascii="Times New Roman" w:hAnsi="Times New Roman" w:cs="Times New Roman" w:hint="default"/>
        </w:rPr>
        <w:drawing>
          <wp:anchor simplePos="0" relativeHeight="251658240" behindDoc="0" locked="0" layoutInCell="1" allowOverlap="1">
            <wp:simplePos x="0" y="0"/>
            <wp:positionH relativeFrom="page">
              <wp:posOffset>11671300</wp:posOffset>
            </wp:positionH>
            <wp:positionV relativeFrom="topMargin">
              <wp:posOffset>12103100</wp:posOffset>
            </wp:positionV>
            <wp:extent cx="292100" cy="419100"/>
            <wp:wrapNone/>
            <wp:docPr id="10024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44" name=""/>
                    <pic:cNvPicPr>
                      <a:picLocks noChangeAspect="1"/>
                    </pic:cNvPicPr>
                  </pic:nvPicPr>
                  <pic:blipFill>
                    <a:blip xmlns:r="http://schemas.openxmlformats.org/officeDocument/2006/relationships" r:embed="rId5"/>
                    <a:stretch>
                      <a:fillRect/>
                    </a:stretch>
                  </pic:blipFill>
                  <pic:spPr>
                    <a:xfrm>
                      <a:off x="0" y="0"/>
                      <a:ext cx="292100" cy="419100"/>
                    </a:xfrm>
                    <a:prstGeom prst="rect">
                      <a:avLst/>
                    </a:prstGeom>
                  </pic:spPr>
                </pic:pic>
              </a:graphicData>
            </a:graphic>
          </wp:anchor>
        </w:drawing>
      </w:r>
      <w:r>
        <w:rPr>
          <w:rFonts w:ascii="Times New Roman" w:hAnsi="Times New Roman" w:cs="Times New Roman" w:hint="default"/>
        </w:rPr>
        <w:drawing>
          <wp:anchor distT="0" distB="0" distL="114300" distR="114300" simplePos="0" relativeHeight="251659264" behindDoc="0" locked="0" layoutInCell="1" allowOverlap="1">
            <wp:simplePos x="0" y="0"/>
            <wp:positionH relativeFrom="column">
              <wp:posOffset>-665480</wp:posOffset>
            </wp:positionH>
            <wp:positionV relativeFrom="paragraph">
              <wp:posOffset>-897890</wp:posOffset>
            </wp:positionV>
            <wp:extent cx="7552690" cy="10683875"/>
            <wp:effectExtent l="0" t="0" r="10160" b="3175"/>
            <wp:wrapSquare wrapText="bothSides"/>
            <wp:docPr id="2" name="图片 2" descr="考前20天-高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考前20天-高考"/>
                    <pic:cNvPicPr>
                      <a:picLocks noChangeAspect="1"/>
                    </pic:cNvPicPr>
                  </pic:nvPicPr>
                  <pic:blipFill>
                    <a:blip xmlns:r="http://schemas.openxmlformats.org/officeDocument/2006/relationships" r:embed="rId6"/>
                    <a:stretch>
                      <a:fillRect/>
                    </a:stretch>
                  </pic:blipFill>
                  <pic:spPr>
                    <a:xfrm>
                      <a:off x="0" y="0"/>
                      <a:ext cx="7552690" cy="10683875"/>
                    </a:xfrm>
                    <a:prstGeom prst="rect">
                      <a:avLst/>
                    </a:prstGeom>
                  </pic:spPr>
                </pic:pic>
              </a:graphicData>
            </a:graphic>
          </wp:anchor>
        </w:drawing>
      </w:r>
      <w:r>
        <w:rPr>
          <w:rFonts w:ascii="Times New Roman" w:hAnsi="Times New Roman" w:cs="Times New Roman" w:hint="default"/>
        </w:rPr>
        <w:br w:type="page"/>
      </w:r>
    </w:p>
    <w:p w14:paraId="7EDD06B6">
      <w:pPr>
        <w:jc w:val="center"/>
        <w:rPr>
          <w:rFonts w:ascii="微软雅黑" w:eastAsia="微软雅黑" w:hAnsi="微软雅黑" w:cs="微软雅黑" w:hint="eastAsia"/>
          <w:b/>
          <w:bCs/>
          <w:sz w:val="36"/>
          <w:szCs w:val="44"/>
          <w:lang w:val="en-US" w:eastAsia="zh-CN"/>
        </w:rPr>
      </w:pPr>
      <w:r>
        <w:rPr>
          <w:rFonts w:ascii="微软雅黑" w:eastAsia="微软雅黑" w:hAnsi="微软雅黑" w:cs="微软雅黑" w:hint="eastAsia"/>
          <w:b/>
          <w:bCs/>
          <w:sz w:val="36"/>
          <w:szCs w:val="44"/>
          <w:lang w:val="en-US" w:eastAsia="zh-CN"/>
        </w:rPr>
        <w:t>目  录</w:t>
      </w:r>
    </w:p>
    <w:p w14:paraId="60A1EBDF">
      <w:pPr>
        <w:jc w:val="center"/>
        <w:rPr>
          <w:rFonts w:ascii="Times New Roman" w:hAnsi="Times New Roman" w:cs="Times New Roman" w:hint="default"/>
        </w:rPr>
      </w:pPr>
    </w:p>
    <w:p w14:paraId="5B33D11D">
      <w:pPr>
        <w:pStyle w:val="-19-h"/>
        <w:keepNext w:val="0"/>
        <w:keepLines w:val="0"/>
        <w:pageBreakBefore w:val="0"/>
        <w:widowControl w:val="0"/>
        <w:shd w:val="clear" w:color="auto" w:fill="D4F4F1" w:themeFill="accent5" w:themeFillTint="32"/>
        <w:kinsoku/>
        <w:wordWrap/>
        <w:overflowPunct/>
        <w:topLinePunct w:val="0"/>
        <w:autoSpaceDE/>
        <w:autoSpaceDN/>
        <w:bidi w:val="0"/>
        <w:adjustRightInd/>
        <w:snapToGrid/>
        <w:ind w:left="0"/>
        <w:textAlignment w:val="center"/>
        <w:rPr>
          <w:rFonts w:ascii="隶书" w:eastAsia="隶书" w:hAnsi="隶书" w:cs="隶书"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20" name="图片 20"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5</w:t>
      </w:r>
      <w:r>
        <w:rPr>
          <w:rFonts w:ascii="隶书" w:eastAsia="隶书" w:hAnsi="隶书" w:cs="隶书" w:hint="eastAsia"/>
          <w:sz w:val="28"/>
          <w:szCs w:val="28"/>
          <w:lang w:val="en-US" w:eastAsia="zh-CN"/>
        </w:rPr>
        <w:t>天</w:t>
      </w:r>
    </w:p>
    <w:p w14:paraId="14524C97">
      <w:pPr>
        <w:pStyle w:val="-19-h"/>
        <w:keepNext w:val="0"/>
        <w:keepLines w:val="0"/>
        <w:pageBreakBefore w:val="0"/>
        <w:widowControl w:val="0"/>
        <w:shd w:val="clear" w:color="auto" w:fill="D4F4F1" w:themeFill="accent5" w:themeFillTint="32"/>
        <w:kinsoku/>
        <w:wordWrap/>
        <w:overflowPunct/>
        <w:topLinePunct w:val="0"/>
        <w:autoSpaceDE/>
        <w:autoSpaceDN/>
        <w:bidi w:val="0"/>
        <w:adjustRightInd/>
        <w:snapToGrid/>
        <w:ind w:left="0"/>
        <w:textAlignment w:val="center"/>
        <w:rPr>
          <w:rFonts w:ascii="微软雅黑" w:eastAsia="微软雅黑" w:hAnsi="微软雅黑" w:cs="微软雅黑"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时政热点01 聚焦两会：锚定新目标 奋力开新局</w:t>
      </w:r>
      <w:r>
        <w:rPr>
          <w:rFonts w:ascii="微软雅黑" w:eastAsia="微软雅黑" w:hAnsi="微软雅黑" w:cs="微软雅黑" w:hint="eastAsia"/>
          <w:b/>
          <w:bCs/>
          <w:sz w:val="24"/>
          <w:szCs w:val="24"/>
          <w:lang w:val="en-US" w:eastAsia="zh-CN"/>
        </w:rPr>
        <w:t xml:space="preserve">………………………………………3  </w:t>
      </w:r>
    </w:p>
    <w:p w14:paraId="7BEB0D92">
      <w:pPr>
        <w:pStyle w:val="-19-h"/>
        <w:keepNext w:val="0"/>
        <w:keepLines w:val="0"/>
        <w:pageBreakBefore w:val="0"/>
        <w:widowControl w:val="0"/>
        <w:shd w:val="clear" w:color="auto" w:fill="D4F4F1" w:themeFill="accent5" w:themeFillTint="32"/>
        <w:kinsoku/>
        <w:wordWrap/>
        <w:overflowPunct/>
        <w:topLinePunct w:val="0"/>
        <w:autoSpaceDE/>
        <w:autoSpaceDN/>
        <w:bidi w:val="0"/>
        <w:adjustRightInd/>
        <w:snapToGrid/>
        <w:ind w:left="0" w:firstLine="420" w:leftChars="0" w:firstLineChars="200"/>
        <w:textAlignment w:val="center"/>
        <w:rPr>
          <w:rFonts w:ascii="楷体" w:eastAsia="楷体" w:hAnsi="楷体" w:cs="楷体" w:hint="eastAsia"/>
          <w:color w:val="808080" w:themeColor="text1" w:themeTint="80"/>
          <w:sz w:val="21"/>
          <w:szCs w:val="21"/>
          <w:lang w:val="en-US" w:eastAsia="zh-CN"/>
          <w14:textFill>
            <w14:solidFill>
              <w14:schemeClr w14:val="tx1">
                <w14:lumMod w14:val="50000"/>
                <w14:lumOff w14:val="50000"/>
              </w14:schemeClr>
            </w14:solidFill>
          </w14:textFill>
        </w:rPr>
      </w:pPr>
      <w:r>
        <w:rPr>
          <w:rFonts w:ascii="楷体" w:eastAsia="楷体" w:hAnsi="楷体" w:cs="楷体" w:hint="eastAsia"/>
          <w:color w:val="002060"/>
          <w:lang w:val="en-US" w:eastAsia="zh-CN"/>
        </w:rPr>
        <w:t>紧扣政府工作报告，构建“两会举措—教材原理—命题角度”的关联体系，聚焦4大核心考向</w:t>
      </w:r>
    </w:p>
    <w:p w14:paraId="73226ED7">
      <w:pPr>
        <w:jc w:val="both"/>
        <w:rPr>
          <w:rFonts w:ascii="Times New Roman" w:hAnsi="Times New Roman" w:cs="Times New Roman" w:hint="default"/>
          <w:lang w:val="en-US" w:eastAsia="zh-CN"/>
        </w:rPr>
      </w:pPr>
    </w:p>
    <w:p w14:paraId="5BBC2FCE">
      <w:pPr>
        <w:jc w:val="center"/>
        <w:rPr>
          <w:rFonts w:ascii="Times New Roman" w:hAnsi="Times New Roman" w:cs="Times New Roman" w:hint="default"/>
          <w:lang w:val="en-US" w:eastAsia="zh-CN"/>
        </w:rPr>
      </w:pPr>
    </w:p>
    <w:p w14:paraId="40D2C85C">
      <w:pPr>
        <w:jc w:val="center"/>
        <w:rPr>
          <w:rFonts w:ascii="Times New Roman" w:hAnsi="Times New Roman" w:cs="Times New Roman" w:hint="default"/>
          <w:lang w:val="en-US" w:eastAsia="zh-CN"/>
        </w:rPr>
      </w:pPr>
    </w:p>
    <w:p w14:paraId="46C5C663">
      <w:pPr>
        <w:pStyle w:val="-19-h"/>
        <w:keepNext w:val="0"/>
        <w:keepLines w:val="0"/>
        <w:pageBreakBefore w:val="0"/>
        <w:widowControl w:val="0"/>
        <w:shd w:val="clear" w:color="auto" w:fill="F0F8EB"/>
        <w:kinsoku/>
        <w:wordWrap/>
        <w:overflowPunct/>
        <w:topLinePunct w:val="0"/>
        <w:autoSpaceDE/>
        <w:autoSpaceDN/>
        <w:bidi w:val="0"/>
        <w:adjustRightInd/>
        <w:snapToGrid/>
        <w:ind w:left="0"/>
        <w:textAlignment w:val="center"/>
        <w:rPr>
          <w:rFonts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3" name="图片 3"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4</w:t>
      </w:r>
      <w:r>
        <w:rPr>
          <w:rFonts w:ascii="隶书" w:eastAsia="隶书" w:hAnsi="隶书" w:cs="隶书" w:hint="eastAsia"/>
          <w:sz w:val="28"/>
          <w:szCs w:val="28"/>
          <w:lang w:val="en-US" w:eastAsia="zh-CN"/>
        </w:rPr>
        <w:t>天</w:t>
      </w:r>
    </w:p>
    <w:p w14:paraId="3B621796">
      <w:pPr>
        <w:pStyle w:val="-19-h"/>
        <w:keepNext w:val="0"/>
        <w:keepLines w:val="0"/>
        <w:pageBreakBefore w:val="0"/>
        <w:widowControl w:val="0"/>
        <w:numPr>
          <w:ilvl w:val="0"/>
          <w:numId w:val="0"/>
        </w:numPr>
        <w:shd w:val="clear" w:color="auto" w:fill="F0F8EB"/>
        <w:kinsoku/>
        <w:wordWrap/>
        <w:overflowPunct/>
        <w:topLinePunct w:val="0"/>
        <w:autoSpaceDE/>
        <w:autoSpaceDN/>
        <w:bidi w:val="0"/>
        <w:adjustRightInd/>
        <w:snapToGrid/>
        <w:jc w:val="left"/>
        <w:textAlignment w:val="center"/>
        <w:rPr>
          <w:rFonts w:ascii="微软雅黑" w:eastAsia="微软雅黑" w:hAnsi="微软雅黑" w:cs="微软雅黑"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时政热点02 打造智能经济新形态 加速发展新质生产力</w:t>
      </w:r>
      <w:bookmarkStart w:id="0" w:name="_GoBack"/>
      <w:bookmarkEnd w:id="0"/>
      <w:r>
        <w:rPr>
          <w:rFonts w:ascii="微软雅黑" w:eastAsia="微软雅黑" w:hAnsi="微软雅黑" w:cs="微软雅黑" w:hint="eastAsia"/>
          <w:b/>
          <w:bCs/>
          <w:sz w:val="24"/>
          <w:szCs w:val="24"/>
          <w:lang w:val="en-US" w:eastAsia="zh-CN"/>
        </w:rPr>
        <w:t>………………………………14</w:t>
      </w:r>
    </w:p>
    <w:p w14:paraId="67B69D05">
      <w:pPr>
        <w:pStyle w:val="-19-h"/>
        <w:keepNext w:val="0"/>
        <w:keepLines w:val="0"/>
        <w:pageBreakBefore w:val="0"/>
        <w:widowControl w:val="0"/>
        <w:numPr>
          <w:ilvl w:val="0"/>
          <w:numId w:val="0"/>
        </w:numPr>
        <w:shd w:val="clear" w:color="auto" w:fill="F0F8EB"/>
        <w:kinsoku/>
        <w:wordWrap/>
        <w:overflowPunct/>
        <w:topLinePunct w:val="0"/>
        <w:autoSpaceDE/>
        <w:autoSpaceDN/>
        <w:bidi w:val="0"/>
        <w:adjustRightInd/>
        <w:snapToGrid/>
        <w:ind w:firstLine="420" w:firstLineChars="200"/>
        <w:jc w:val="left"/>
        <w:textAlignment w:val="center"/>
        <w:rPr>
          <w:rFonts w:ascii="楷体" w:eastAsia="楷体" w:hAnsi="楷体" w:cs="楷体" w:hint="eastAsia"/>
          <w:b/>
          <w:bCs/>
          <w:kern w:val="2"/>
          <w:sz w:val="21"/>
          <w:szCs w:val="21"/>
          <w:lang w:val="en-US" w:eastAsia="zh-CN" w:bidi="ar-SA"/>
        </w:rPr>
      </w:pPr>
      <w:r>
        <w:rPr>
          <w:rFonts w:ascii="楷体" w:eastAsia="楷体" w:hAnsi="楷体" w:cs="楷体" w:hint="eastAsia"/>
          <w:color w:val="002060"/>
          <w:lang w:val="en-US" w:eastAsia="zh-CN"/>
        </w:rPr>
        <w:t>聚焦核心关联，吃透“智能经济—新质生产力—高质量发展”内在逻辑，聚焦4大核心考向</w:t>
      </w:r>
    </w:p>
    <w:p w14:paraId="5E731754">
      <w:pPr>
        <w:jc w:val="center"/>
        <w:rPr>
          <w:rFonts w:ascii="Times New Roman" w:hAnsi="Times New Roman" w:cs="Times New Roman" w:hint="default"/>
          <w:lang w:val="en-US" w:eastAsia="zh-CN"/>
        </w:rPr>
      </w:pPr>
    </w:p>
    <w:p w14:paraId="06522177">
      <w:pPr>
        <w:jc w:val="center"/>
        <w:rPr>
          <w:rFonts w:ascii="Times New Roman" w:hAnsi="Times New Roman" w:cs="Times New Roman" w:hint="default"/>
          <w:lang w:val="en-US" w:eastAsia="zh-CN"/>
        </w:rPr>
      </w:pPr>
    </w:p>
    <w:p w14:paraId="4EFE9D67">
      <w:pPr>
        <w:pStyle w:val="-19-h"/>
        <w:keepNext w:val="0"/>
        <w:keepLines w:val="0"/>
        <w:pageBreakBefore w:val="0"/>
        <w:widowControl w:val="0"/>
        <w:shd w:val="clear" w:color="auto" w:fill="FEF1F3"/>
        <w:kinsoku/>
        <w:wordWrap/>
        <w:overflowPunct/>
        <w:topLinePunct w:val="0"/>
        <w:autoSpaceDE/>
        <w:autoSpaceDN/>
        <w:bidi w:val="0"/>
        <w:adjustRightInd/>
        <w:snapToGrid/>
        <w:ind w:left="0"/>
        <w:textAlignment w:val="center"/>
        <w:rPr>
          <w:rFonts w:ascii="隶书" w:eastAsia="隶书" w:hAnsi="隶书" w:cs="隶书"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4" name="图片 4"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3</w:t>
      </w:r>
      <w:r>
        <w:rPr>
          <w:rFonts w:ascii="隶书" w:eastAsia="隶书" w:hAnsi="隶书" w:cs="隶书" w:hint="eastAsia"/>
          <w:sz w:val="28"/>
          <w:szCs w:val="28"/>
          <w:lang w:val="en-US" w:eastAsia="zh-CN"/>
        </w:rPr>
        <w:t>天</w:t>
      </w:r>
    </w:p>
    <w:p w14:paraId="1B0C2627">
      <w:pPr>
        <w:pStyle w:val="-19-h"/>
        <w:keepNext w:val="0"/>
        <w:keepLines w:val="0"/>
        <w:pageBreakBefore w:val="0"/>
        <w:widowControl w:val="0"/>
        <w:shd w:val="clear" w:color="auto" w:fill="FEF1F3"/>
        <w:kinsoku/>
        <w:wordWrap/>
        <w:overflowPunct/>
        <w:topLinePunct w:val="0"/>
        <w:autoSpaceDE/>
        <w:autoSpaceDN/>
        <w:bidi w:val="0"/>
        <w:adjustRightInd/>
        <w:snapToGrid/>
        <w:ind w:left="0"/>
        <w:textAlignment w:val="center"/>
        <w:rPr>
          <w:rFonts w:ascii="微软雅黑" w:eastAsia="微软雅黑" w:hAnsi="微软雅黑" w:cs="微软雅黑"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时政热点03：海南自贸启新程 开放中国向未来</w:t>
      </w:r>
      <w:r>
        <w:rPr>
          <w:rFonts w:ascii="微软雅黑" w:eastAsia="微软雅黑" w:hAnsi="微软雅黑" w:cs="微软雅黑" w:hint="eastAsia"/>
          <w:b/>
          <w:bCs/>
          <w:sz w:val="24"/>
          <w:szCs w:val="24"/>
          <w:lang w:val="en-US" w:eastAsia="zh-CN"/>
        </w:rPr>
        <w:t>…………………………………………25</w:t>
      </w:r>
    </w:p>
    <w:p w14:paraId="6EF9242D">
      <w:pPr>
        <w:pStyle w:val="-19-h"/>
        <w:keepNext w:val="0"/>
        <w:keepLines w:val="0"/>
        <w:pageBreakBefore w:val="0"/>
        <w:widowControl w:val="0"/>
        <w:numPr>
          <w:ilvl w:val="0"/>
          <w:numId w:val="0"/>
        </w:numPr>
        <w:shd w:val="clear" w:color="auto" w:fill="FEF1F3"/>
        <w:kinsoku/>
        <w:wordWrap/>
        <w:overflowPunct/>
        <w:topLinePunct w:val="0"/>
        <w:autoSpaceDE/>
        <w:autoSpaceDN/>
        <w:bidi w:val="0"/>
        <w:adjustRightInd/>
        <w:snapToGrid/>
        <w:ind w:firstLine="420" w:firstLineChars="200"/>
        <w:jc w:val="both"/>
        <w:textAlignment w:val="center"/>
        <w:rPr>
          <w:rFonts w:ascii="楷体" w:eastAsia="楷体" w:hAnsi="楷体" w:cs="楷体" w:hint="default"/>
          <w:color w:val="002060"/>
          <w:lang w:val="en-US" w:eastAsia="zh-CN"/>
        </w:rPr>
      </w:pPr>
      <w:r>
        <w:rPr>
          <w:rFonts w:ascii="楷体" w:eastAsia="楷体" w:hAnsi="楷体" w:cs="楷体" w:hint="eastAsia"/>
          <w:color w:val="002060"/>
          <w:lang w:val="en-US" w:eastAsia="zh-CN"/>
        </w:rPr>
        <w:t>聚焦核心逻辑，吃透“政策创新—开放实践—高质量发展”关联，聚焦4大核心考向</w:t>
      </w:r>
    </w:p>
    <w:p w14:paraId="2861CE4E">
      <w:pPr>
        <w:jc w:val="both"/>
        <w:rPr>
          <w:rFonts w:ascii="Times New Roman" w:hAnsi="Times New Roman" w:cs="Times New Roman" w:hint="default"/>
          <w:lang w:val="en-US" w:eastAsia="zh-CN"/>
        </w:rPr>
      </w:pPr>
    </w:p>
    <w:p w14:paraId="05F5BBC7">
      <w:pPr>
        <w:jc w:val="center"/>
        <w:rPr>
          <w:rFonts w:ascii="Times New Roman" w:hAnsi="Times New Roman" w:cs="Times New Roman" w:hint="default"/>
          <w:lang w:val="en-US" w:eastAsia="zh-CN"/>
        </w:rPr>
      </w:pPr>
    </w:p>
    <w:p w14:paraId="110EA0B9">
      <w:pPr>
        <w:jc w:val="center"/>
        <w:rPr>
          <w:rFonts w:ascii="Times New Roman" w:hAnsi="Times New Roman" w:cs="Times New Roman" w:hint="default"/>
          <w:lang w:val="en-US" w:eastAsia="zh-CN"/>
        </w:rPr>
      </w:pPr>
    </w:p>
    <w:p w14:paraId="67F52571">
      <w:pPr>
        <w:pStyle w:val="-19-h"/>
        <w:keepNext w:val="0"/>
        <w:keepLines w:val="0"/>
        <w:pageBreakBefore w:val="0"/>
        <w:widowControl w:val="0"/>
        <w:shd w:val="clear" w:color="auto" w:fill="DBE3F4" w:themeFill="accent1" w:themeFillTint="32"/>
        <w:kinsoku/>
        <w:wordWrap/>
        <w:overflowPunct/>
        <w:topLinePunct w:val="0"/>
        <w:autoSpaceDE/>
        <w:autoSpaceDN/>
        <w:bidi w:val="0"/>
        <w:adjustRightInd/>
        <w:snapToGrid/>
        <w:ind w:left="0"/>
        <w:textAlignment w:val="center"/>
        <w:rPr>
          <w:rFonts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5" name="图片 5"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w:t>
      </w:r>
      <w:r>
        <w:rPr>
          <w:rFonts w:ascii="微软雅黑" w:eastAsia="微软雅黑" w:hAnsi="微软雅黑" w:cs="微软雅黑" w:hint="eastAsia"/>
          <w:b/>
          <w:bCs/>
          <w:color w:val="C00000"/>
          <w:sz w:val="32"/>
          <w:szCs w:val="32"/>
          <w:lang w:val="en-US" w:eastAsia="zh-CN"/>
        </w:rPr>
        <w:t>2</w:t>
      </w:r>
      <w:r>
        <w:rPr>
          <w:rFonts w:ascii="隶书" w:eastAsia="隶书" w:hAnsi="隶书" w:cs="隶书" w:hint="eastAsia"/>
          <w:sz w:val="28"/>
          <w:szCs w:val="28"/>
          <w:lang w:val="en-US" w:eastAsia="zh-CN"/>
        </w:rPr>
        <w:t>天</w:t>
      </w:r>
    </w:p>
    <w:p w14:paraId="09D013A8">
      <w:pPr>
        <w:pStyle w:val="-19-h"/>
        <w:keepNext w:val="0"/>
        <w:keepLines w:val="0"/>
        <w:pageBreakBefore w:val="0"/>
        <w:widowControl w:val="0"/>
        <w:numPr>
          <w:ilvl w:val="0"/>
          <w:numId w:val="0"/>
        </w:numPr>
        <w:shd w:val="clear" w:color="auto" w:fill="DBE3F4" w:themeFill="accent1" w:themeFillTint="32"/>
        <w:kinsoku/>
        <w:wordWrap/>
        <w:overflowPunct/>
        <w:topLinePunct w:val="0"/>
        <w:autoSpaceDE/>
        <w:autoSpaceDN/>
        <w:bidi w:val="0"/>
        <w:adjustRightInd/>
        <w:snapToGrid/>
        <w:textAlignment w:val="center"/>
        <w:rPr>
          <w:rFonts w:ascii="宋体" w:eastAsia="宋体" w:hAnsi="宋体" w:cs="宋体"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sz w:val="24"/>
          <w:szCs w:val="24"/>
          <w:lang w:val="en-US" w:eastAsia="zh-CN"/>
        </w:rPr>
        <w:t xml:space="preserve"> </w:t>
      </w:r>
      <w:r>
        <w:rPr>
          <w:rFonts w:ascii="微软雅黑" w:eastAsia="微软雅黑" w:hAnsi="微软雅黑" w:cs="微软雅黑" w:hint="eastAsia"/>
          <w:b/>
          <w:bCs/>
          <w:kern w:val="2"/>
          <w:sz w:val="24"/>
          <w:szCs w:val="24"/>
          <w:lang w:val="en-US" w:eastAsia="zh-CN" w:bidi="ar-SA"/>
        </w:rPr>
        <w:t>时政热点04：树立和践行正确的政绩观</w:t>
      </w:r>
      <w:r>
        <w:rPr>
          <w:rFonts w:ascii="微软雅黑" w:eastAsia="微软雅黑" w:hAnsi="微软雅黑" w:cs="微软雅黑" w:hint="eastAsia"/>
          <w:b/>
          <w:bCs/>
          <w:sz w:val="24"/>
          <w:szCs w:val="24"/>
          <w:lang w:val="en-US" w:eastAsia="zh-CN"/>
        </w:rPr>
        <w:t>…………………………………………………37</w:t>
      </w:r>
    </w:p>
    <w:p w14:paraId="49787FF5">
      <w:pPr>
        <w:pStyle w:val="-19-h"/>
        <w:keepNext w:val="0"/>
        <w:keepLines w:val="0"/>
        <w:pageBreakBefore w:val="0"/>
        <w:widowControl w:val="0"/>
        <w:shd w:val="clear" w:color="auto" w:fill="DBE3F4" w:themeFill="accent1" w:themeFillTint="32"/>
        <w:kinsoku/>
        <w:wordWrap/>
        <w:overflowPunct/>
        <w:topLinePunct w:val="0"/>
        <w:autoSpaceDE/>
        <w:autoSpaceDN/>
        <w:bidi w:val="0"/>
        <w:adjustRightInd/>
        <w:snapToGrid/>
        <w:ind w:left="0" w:firstLine="420" w:leftChars="0" w:firstLineChars="200"/>
        <w:textAlignment w:val="center"/>
        <w:rPr>
          <w:rFonts w:ascii="楷体" w:eastAsia="楷体" w:hAnsi="楷体" w:cs="楷体" w:hint="eastAsia"/>
          <w:color w:val="002060"/>
          <w:lang w:val="en-US" w:eastAsia="zh-CN"/>
        </w:rPr>
      </w:pPr>
      <w:r>
        <w:rPr>
          <w:rFonts w:ascii="楷体" w:eastAsia="楷体" w:hAnsi="楷体" w:cs="楷体" w:hint="eastAsia"/>
          <w:color w:val="002060"/>
        </w:rPr>
        <w:t>聚焦核心内涵</w:t>
      </w:r>
      <w:r>
        <w:rPr>
          <w:rFonts w:ascii="楷体" w:eastAsia="楷体" w:hAnsi="楷体" w:cs="楷体" w:hint="eastAsia"/>
          <w:color w:val="002060"/>
          <w:lang w:eastAsia="zh-CN"/>
        </w:rPr>
        <w:t>：</w:t>
      </w:r>
      <w:r>
        <w:rPr>
          <w:rFonts w:ascii="楷体" w:eastAsia="楷体" w:hAnsi="楷体" w:cs="楷体" w:hint="eastAsia"/>
          <w:color w:val="002060"/>
        </w:rPr>
        <w:t>吃透“为民造福—实事求是—长远发展”逻辑，聚焦</w:t>
      </w:r>
      <w:r>
        <w:rPr>
          <w:rFonts w:ascii="楷体" w:eastAsia="楷体" w:hAnsi="楷体" w:cs="楷体" w:hint="eastAsia"/>
          <w:color w:val="002060"/>
          <w:lang w:val="en-US" w:eastAsia="zh-CN"/>
        </w:rPr>
        <w:t>4</w:t>
      </w:r>
      <w:r>
        <w:rPr>
          <w:rFonts w:ascii="楷体" w:eastAsia="楷体" w:hAnsi="楷体" w:cs="楷体" w:hint="eastAsia"/>
          <w:color w:val="002060"/>
        </w:rPr>
        <w:t>大核心考</w:t>
      </w:r>
      <w:r>
        <w:rPr>
          <w:rFonts w:ascii="楷体" w:eastAsia="楷体" w:hAnsi="楷体" w:cs="楷体" w:hint="eastAsia"/>
          <w:color w:val="002060"/>
          <w:lang w:val="en-US" w:eastAsia="zh-CN"/>
        </w:rPr>
        <w:t>向</w:t>
      </w:r>
    </w:p>
    <w:p w14:paraId="6B813EC8">
      <w:pPr>
        <w:jc w:val="both"/>
        <w:rPr>
          <w:rFonts w:ascii="Times New Roman" w:hAnsi="Times New Roman" w:cs="Times New Roman" w:hint="default"/>
          <w:lang w:val="en-US" w:eastAsia="zh-CN"/>
        </w:rPr>
      </w:pPr>
    </w:p>
    <w:p w14:paraId="341D6981">
      <w:pPr>
        <w:jc w:val="both"/>
        <w:rPr>
          <w:rFonts w:ascii="Times New Roman" w:hAnsi="Times New Roman" w:cs="Times New Roman" w:hint="default"/>
          <w:lang w:val="en-US" w:eastAsia="zh-CN"/>
        </w:rPr>
      </w:pPr>
    </w:p>
    <w:p w14:paraId="79A93BA3">
      <w:pPr>
        <w:jc w:val="both"/>
        <w:rPr>
          <w:rFonts w:ascii="Times New Roman" w:hAnsi="Times New Roman" w:cs="Times New Roman" w:hint="default"/>
          <w:lang w:val="en-US" w:eastAsia="zh-CN"/>
        </w:rPr>
      </w:pPr>
    </w:p>
    <w:p w14:paraId="2CF13B9B">
      <w:pPr>
        <w:pStyle w:val="-19-h"/>
        <w:keepNext w:val="0"/>
        <w:keepLines w:val="0"/>
        <w:pageBreakBefore w:val="0"/>
        <w:widowControl w:val="0"/>
        <w:shd w:val="clear" w:color="auto" w:fill="FEF2CB" w:themeFill="accent3" w:themeFillTint="32"/>
        <w:kinsoku/>
        <w:wordWrap/>
        <w:overflowPunct/>
        <w:topLinePunct w:val="0"/>
        <w:autoSpaceDE/>
        <w:autoSpaceDN/>
        <w:bidi w:val="0"/>
        <w:adjustRightInd/>
        <w:snapToGrid/>
        <w:ind w:left="0"/>
        <w:textAlignment w:val="center"/>
        <w:rPr>
          <w:rFonts w:hint="eastAsia"/>
          <w:sz w:val="28"/>
          <w:szCs w:val="28"/>
          <w:lang w:val="en-US" w:eastAsia="zh-CN"/>
        </w:rPr>
      </w:pPr>
      <w:r>
        <w:rPr>
          <w:rFonts w:ascii="隶书" w:eastAsia="隶书" w:hAnsi="隶书" w:cs="隶书" w:hint="eastAsia"/>
          <w:sz w:val="28"/>
          <w:szCs w:val="28"/>
          <w:lang w:val="en-US" w:eastAsia="zh-CN"/>
        </w:rPr>
        <w:drawing>
          <wp:inline distT="0" distB="0" distL="114300" distR="114300">
            <wp:extent cx="226060" cy="226060"/>
            <wp:effectExtent l="0" t="0" r="2540" b="2540"/>
            <wp:docPr id="6" name="图片 6"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lang w:val="en-US" w:eastAsia="zh-CN"/>
        </w:rPr>
        <w:t>倒计时</w:t>
      </w:r>
      <w:r>
        <w:rPr>
          <w:rFonts w:ascii="微软雅黑" w:eastAsia="微软雅黑" w:hAnsi="微软雅黑" w:cs="微软雅黑" w:hint="eastAsia"/>
          <w:b/>
          <w:bCs/>
          <w:color w:val="C00000"/>
          <w:sz w:val="32"/>
          <w:szCs w:val="32"/>
          <w:lang w:val="en-US" w:eastAsia="zh-CN"/>
        </w:rPr>
        <w:t>1</w:t>
      </w:r>
      <w:r>
        <w:rPr>
          <w:rFonts w:ascii="隶书" w:eastAsia="隶书" w:hAnsi="隶书" w:cs="隶书" w:hint="eastAsia"/>
          <w:sz w:val="28"/>
          <w:szCs w:val="28"/>
          <w:lang w:val="en-US" w:eastAsia="zh-CN"/>
        </w:rPr>
        <w:t>天</w:t>
      </w:r>
    </w:p>
    <w:p w14:paraId="0717AB02">
      <w:pPr>
        <w:pStyle w:val="-19-h"/>
        <w:keepNext w:val="0"/>
        <w:keepLines w:val="0"/>
        <w:pageBreakBefore w:val="0"/>
        <w:widowControl w:val="0"/>
        <w:numPr>
          <w:ilvl w:val="0"/>
          <w:numId w:val="0"/>
        </w:numPr>
        <w:shd w:val="clear" w:color="auto" w:fill="FEF2CB" w:themeFill="accent3" w:themeFillTint="32"/>
        <w:kinsoku/>
        <w:wordWrap/>
        <w:overflowPunct/>
        <w:topLinePunct w:val="0"/>
        <w:autoSpaceDE/>
        <w:autoSpaceDN/>
        <w:bidi w:val="0"/>
        <w:adjustRightInd/>
        <w:snapToGrid/>
        <w:textAlignment w:val="center"/>
        <w:rPr>
          <w:rFonts w:ascii="宋体" w:eastAsia="宋体" w:hAnsi="宋体" w:cs="宋体" w:hint="default"/>
          <w:b/>
          <w:bCs/>
          <w:sz w:val="24"/>
          <w:szCs w:val="24"/>
          <w:lang w:val="en-US" w:eastAsia="zh-CN"/>
        </w:rPr>
      </w:pPr>
      <w:r>
        <w:rPr>
          <w:rFonts w:ascii="微软雅黑" w:eastAsia="微软雅黑" w:hAnsi="微软雅黑" w:cs="微软雅黑" w:hint="eastAsia"/>
          <w:b/>
          <w:bCs/>
          <w:color w:val="C00000"/>
          <w:sz w:val="28"/>
          <w:szCs w:val="28"/>
        </w:rPr>
        <w:t>➤</w:t>
      </w:r>
      <w:r>
        <w:rPr>
          <w:rFonts w:ascii="微软雅黑" w:eastAsia="微软雅黑" w:hAnsi="微软雅黑" w:cs="微软雅黑" w:hint="eastAsia"/>
          <w:b/>
          <w:bCs/>
          <w:kern w:val="2"/>
          <w:sz w:val="24"/>
          <w:szCs w:val="24"/>
          <w:lang w:val="en-US" w:eastAsia="zh-CN" w:bidi="ar-SA"/>
        </w:rPr>
        <w:t>时政热点05：新兴消费新形态带来新活力</w:t>
      </w:r>
      <w:r>
        <w:rPr>
          <w:rFonts w:ascii="微软雅黑" w:eastAsia="微软雅黑" w:hAnsi="微软雅黑" w:cs="微软雅黑" w:hint="eastAsia"/>
          <w:b/>
          <w:bCs/>
          <w:sz w:val="24"/>
          <w:szCs w:val="24"/>
          <w:lang w:val="en-US" w:eastAsia="zh-CN"/>
        </w:rPr>
        <w:t>………………………………………………48</w:t>
      </w:r>
    </w:p>
    <w:p w14:paraId="35AD9773">
      <w:pPr>
        <w:pStyle w:val="-19-h"/>
        <w:keepNext w:val="0"/>
        <w:keepLines w:val="0"/>
        <w:pageBreakBefore w:val="0"/>
        <w:widowControl w:val="0"/>
        <w:shd w:val="clear" w:color="auto" w:fill="FEF2CB" w:themeFill="accent3" w:themeFillTint="32"/>
        <w:kinsoku/>
        <w:wordWrap/>
        <w:overflowPunct/>
        <w:topLinePunct w:val="0"/>
        <w:autoSpaceDE/>
        <w:autoSpaceDN/>
        <w:bidi w:val="0"/>
        <w:adjustRightInd/>
        <w:snapToGrid/>
        <w:ind w:left="0" w:firstLine="420" w:leftChars="0" w:firstLineChars="200"/>
        <w:textAlignment w:val="center"/>
        <w:rPr>
          <w:rFonts w:ascii="楷体" w:eastAsia="楷体" w:hAnsi="楷体" w:cs="楷体" w:hint="default"/>
          <w:color w:val="0070C0"/>
          <w:highlight w:val="none"/>
          <w:lang w:val="en-US" w:eastAsia="zh-CN"/>
        </w:rPr>
      </w:pPr>
      <w:r>
        <w:rPr>
          <w:rFonts w:ascii="楷体" w:eastAsia="楷体" w:hAnsi="楷体" w:cs="楷体" w:hint="eastAsia"/>
          <w:color w:val="002060"/>
          <w:lang w:val="en-US" w:eastAsia="zh-CN"/>
        </w:rPr>
        <w:t>聚焦核心逻辑，吃透“消费升级—产业赋能—高质量发展”主线，聚焦4大核心考向</w:t>
      </w:r>
    </w:p>
    <w:p w14:paraId="1B6E6DFE">
      <w:pPr>
        <w:jc w:val="center"/>
        <w:rPr>
          <w:rFonts w:ascii="Times New Roman" w:hAnsi="Times New Roman" w:cs="Times New Roman" w:hint="default"/>
          <w:color w:val="0070C0"/>
          <w:highlight w:val="none"/>
          <w:lang w:val="en-US" w:eastAsia="zh-CN"/>
        </w:rPr>
      </w:pPr>
    </w:p>
    <w:p w14:paraId="28496320">
      <w:pPr>
        <w:rPr>
          <w:rFonts w:ascii="Times New Roman" w:hAnsi="Times New Roman" w:cs="Times New Roman" w:hint="default"/>
          <w:lang w:val="en-US" w:eastAsia="zh-CN"/>
        </w:rPr>
      </w:pPr>
    </w:p>
    <w:p w14:paraId="3FB1B01F">
      <w:pPr>
        <w:rPr>
          <w:rFonts w:ascii="Times New Roman" w:hAnsi="Times New Roman" w:cs="Times New Roman" w:hint="default"/>
          <w:lang w:val="en-US" w:eastAsia="zh-CN"/>
        </w:rPr>
      </w:pPr>
    </w:p>
    <w:p w14:paraId="2255877A">
      <w:pPr>
        <w:rPr>
          <w:rFonts w:ascii="Times New Roman" w:hAnsi="Times New Roman" w:cs="Times New Roman" w:hint="default"/>
          <w:lang w:val="en-US" w:eastAsia="zh-CN"/>
        </w:rPr>
      </w:pPr>
    </w:p>
    <w:p w14:paraId="175E6145">
      <w:pPr>
        <w:rPr>
          <w:rFonts w:ascii="Times New Roman" w:hAnsi="Times New Roman" w:cs="Times New Roman" w:hint="default"/>
          <w:lang w:val="en-US" w:eastAsia="zh-CN"/>
        </w:rPr>
      </w:pPr>
    </w:p>
    <w:p w14:paraId="09796BE2">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Style w:val="Strong"/>
          <w:rFonts w:ascii="楷体" w:eastAsia="楷体" w:hAnsi="楷体" w:cs="楷体" w:hint="eastAsia"/>
          <w:b/>
          <w:bCs/>
          <w:color w:val="000000"/>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12" name="图片 12"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5</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Fonts w:ascii="微软雅黑" w:eastAsia="微软雅黑" w:hAnsi="微软雅黑" w:cs="微软雅黑" w:hint="eastAsia"/>
          <w:b/>
          <w:bCs/>
          <w:kern w:val="2"/>
          <w:sz w:val="21"/>
          <w:szCs w:val="21"/>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追风赶月莫停留，平芜尽处是春山。—— 田锡《游天台上方》</w:t>
      </w:r>
    </w:p>
    <w:p w14:paraId="0A7F75ED">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eastAsia"/>
          <w:b/>
          <w:bCs/>
          <w:sz w:val="32"/>
          <w:szCs w:val="32"/>
          <w:lang w:val="en-US" w:eastAsia="zh-CN"/>
        </w:rPr>
      </w:pPr>
      <w:r>
        <w:rPr>
          <w:rFonts w:ascii="微软雅黑" w:eastAsia="微软雅黑" w:hAnsi="微软雅黑" w:cs="微软雅黑" w:hint="eastAsia"/>
          <w:b/>
          <w:bCs/>
          <w:sz w:val="32"/>
          <w:szCs w:val="32"/>
          <w:lang w:val="en-US" w:eastAsia="zh-CN"/>
        </w:rPr>
        <w:t>时政热点01： 聚焦两会：锚定新目标 奋力开新局</w:t>
      </w:r>
    </w:p>
    <w:p w14:paraId="295F86A2">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24" name="组合 24"/>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5"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8"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9"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25" style="width:16pt;height:22.05pt" coordorigin="6081,38224" coordsize="389,536">
                <o:lock v:ext="edit" aspectratio="f"/>
                <v:roundrect id="圆角矩形 13" o:spid="_x0000_s1026" style="width:113;height:340;flip:x;left:6358;position:absolute;rotation:13;top:38413;v-text-anchor:middle" arcsize="10923f" coordsize="21600,21600" filled="t" fillcolor="#2e54a1" stroked="f">
                  <v:stroke joinstyle="miter"/>
                  <o:lock v:ext="edit" aspectratio="f"/>
                </v:roundrect>
                <v:roundrect id="矩形 16" o:spid="_x0000_s1027" style="width:113;height:412;flip:x;left:6225;position:absolute;rotation:8;top:38343;v-text-anchor:middle" arcsize="10923f" coordsize="21600,21600" filled="t" fillcolor="#c81d31" stroked="f">
                  <v:stroke joinstyle="miter"/>
                  <o:lock v:ext="edit" aspectratio="f"/>
                </v:roundrect>
                <v:roundrect id="圆角矩形 14" o:spid="_x0000_s102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0834531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69A25F7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全国两会（十四届全国人大四次会议、全国政协十四届四次会议）在京胜利召开，恰逢“十五五”规划开局之年、中国共产党成立105周年，承载着特殊而重要的时代使命。本次两会立足中国式现代化全局，全面总结2025年发展成就，科学部署2026年重点工作，聚焦高质量发展、新质生产力培育、共同富裕、全面深化改革等核心议题，凝聚起全国各族人民奋进新征程、建功新时代的磅礴力量。当前，世界经济动能疲弱、地缘政治风险上升，国内发展面临老问题与新挑战交织的复杂局面，两会的胜利召开为破解发展难题、明确前进方向提供了根本遵循。</w:t>
      </w:r>
    </w:p>
    <w:p w14:paraId="123781A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本次两会亮点纷呈、部署务实，十四届全国人大四次会议表决通过了政府工作报告、“十五五”规划纲要草案等重要文件，明确了2026年发展主要预期目标：经济增长4.5%－5%，城镇新增就业1200万人以上，单位国内生产总值二氧化碳排放降低3.8%左右等。政府工作报告围绕扩大内需、科技创新、绿色转型、民生保障等十大任务，推出一系列务实举措，包括发行超长期特别国债1.3万亿元、设立国家低碳转型基金、培育未来产业等，既立足当下稳增长，也着眼长远谋发展，彰显了统筹发展与安全、兼顾速度与质量的科学思维。</w:t>
      </w:r>
    </w:p>
    <w:p w14:paraId="580515D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Style w:val="Strong"/>
          <w:rFonts w:ascii="华文中宋" w:eastAsia="华文中宋" w:hAnsi="华文中宋" w:cs="华文中宋" w:hint="eastAsia"/>
          <w:b/>
          <w:bCs/>
          <w:color w:val="000000"/>
          <w:sz w:val="21"/>
          <w:szCs w:val="21"/>
          <w:lang w:val="en-US" w:eastAsia="zh-CN"/>
        </w:rPr>
      </w:pPr>
      <w:r>
        <w:rPr>
          <w:rFonts w:ascii="楷体" w:eastAsia="楷体" w:hAnsi="楷体" w:cs="楷体" w:hint="eastAsia"/>
          <w:sz w:val="21"/>
          <w:szCs w:val="21"/>
        </w:rPr>
        <w:t>两会期间，代表委员积极建言献策，聚焦具身智能、6G、乡村全面振兴、普惠养老等热点议题，充分践行全过程人民民主。从强化关键核心技术攻关到优化法治化营商环境，从健全防返贫监测帮扶机制到推进城市更新，两会部署的各项任务始终贯穿以人民为中心的发展思想，紧扣高质量发展主题，推动改革发展成果更多更公平惠及全体人民。此次两会的召开，不仅为2026年经济社会发展划定路线图、明确施工图，更彰显了中国特色社会主义制度的显著优势，为推进中华民族伟大复兴注入强劲动力。</w:t>
      </w:r>
    </w:p>
    <w:p w14:paraId="46A2047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2CE7F54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bookmarkStart w:id="1" w:name="heading_2"/>
      <w:r>
        <w:rPr>
          <w:rFonts w:ascii="宋体" w:eastAsia="宋体" w:hAnsi="宋体" w:cs="宋体" w:hint="eastAsia"/>
          <w:b/>
          <w:color w:val="002060"/>
          <w:sz w:val="21"/>
          <w:szCs w:val="21"/>
        </w:rPr>
        <w:t>考向一：政治与法治——两会彰显的政治逻辑与治理效能</w:t>
      </w:r>
      <w:bookmarkEnd w:id="1"/>
    </w:p>
    <w:p w14:paraId="5DF627F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：结合两会召开、重要文件表决、代表委员履职等情境，考查党的领导、全过程人民民主、人大与政协职能、依法行政等知识，分析两会彰显的政治优势与治理效能。</w:t>
      </w:r>
    </w:p>
    <w:p w14:paraId="29CAF65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：中国共产党的领导核心作用；全国人大的立法权、决定权、监督权；人民政协的政治协商、民主监督、参政议政职能；全过程人民民主的内涵与实践；政府的职能与依法行政；法治政府建设与治理效能提升。</w:t>
      </w:r>
    </w:p>
    <w:p w14:paraId="52188AB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bookmarkStart w:id="2" w:name="heading_3"/>
      <w:r>
        <w:rPr>
          <w:rFonts w:ascii="宋体" w:eastAsia="宋体" w:hAnsi="宋体" w:cs="宋体" w:hint="eastAsia"/>
          <w:b/>
          <w:color w:val="002060"/>
          <w:sz w:val="21"/>
          <w:szCs w:val="21"/>
        </w:rPr>
        <w:t>考向二：经济与社会——两会部署与高质量发展的经济实践</w:t>
      </w:r>
      <w:bookmarkEnd w:id="2"/>
    </w:p>
    <w:p w14:paraId="6BA3F88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：结合两会关于经济增长、扩大内需、科技创新、绿色低碳、民生保障等部署，考查新发展理念、现代化经济体系、社会主义市场经济体制等知识，分析两会举措对高质量发展的推动作用。</w:t>
      </w:r>
    </w:p>
    <w:p w14:paraId="273A605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新发展理念（创新、协调、绿色、开放、共享）；新质生产力培育与未来产业发展；扩大内需与国内大循环构建；绿色低碳发展与碳达峰碳中和；社会保障体系与共同富裕；宏观调控与市场配置资源的有机结合。</w:t>
      </w:r>
    </w:p>
    <w:p w14:paraId="6EE6F16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r>
        <w:rPr>
          <w:rFonts w:ascii="宋体" w:eastAsia="宋体" w:hAnsi="宋体" w:cs="宋体" w:hint="eastAsia"/>
          <w:b/>
          <w:color w:val="002060"/>
          <w:sz w:val="21"/>
          <w:szCs w:val="21"/>
        </w:rPr>
        <w:t>考向三：中国特色社会主义——两会与中国式现代化的推进</w:t>
      </w:r>
    </w:p>
    <w:p w14:paraId="1F93C84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：立足两会部署的时代背景，考查中国式现代化的特征、中国特色社会主义制度的优越性、民族复兴的路径等知识，阐释两会对推进中国式现代化的重要意义。</w:t>
      </w:r>
    </w:p>
    <w:p w14:paraId="1CD8CF7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高质量发展是中国式现代化的首要任务；中国特色社会主义制度的显著优势（党的领导、集中力量办大事、以人民为中心）；以中国式现代化推进中华民族伟大复兴；新时代社会主要矛盾的解决。</w:t>
      </w:r>
    </w:p>
    <w:p w14:paraId="4929C4C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2060"/>
          <w:sz w:val="21"/>
          <w:szCs w:val="21"/>
        </w:rPr>
      </w:pPr>
      <w:r>
        <w:rPr>
          <w:rFonts w:ascii="宋体" w:eastAsia="宋体" w:hAnsi="宋体" w:cs="宋体" w:hint="eastAsia"/>
          <w:b/>
          <w:color w:val="002060"/>
          <w:sz w:val="21"/>
          <w:szCs w:val="21"/>
        </w:rPr>
        <w:t>考向四：哲学与文化——两会部署的哲学思维与文化支撑</w:t>
      </w:r>
    </w:p>
    <w:p w14:paraId="4CAC6CE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：运用唯物辩证法、历史唯物主义知识分析两会部署的科学方法，结合两会精神的传播，考查文化自信、社会主义核心价值观对奋进新征程的支撑作用。</w:t>
      </w:r>
    </w:p>
    <w:p w14:paraId="75466D0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矛盾普遍性与特殊性、两点论与重点论）；历史唯物主义（人民群众是历史的创造者、价值观的导向作用、社会存在与社会意识的辩证关系）；社会主义核心价值观；文化自信与精神文明建设；文化与经济、政治的相互影响。</w:t>
      </w:r>
    </w:p>
    <w:p w14:paraId="715D6EB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184A0754">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聚焦两会核心</w:t>
      </w:r>
      <w:r>
        <w:rPr>
          <w:rFonts w:ascii="宋体" w:eastAsia="宋体" w:hAnsi="宋体" w:cs="宋体" w:hint="eastAsia"/>
          <w:b/>
          <w:bCs/>
          <w:sz w:val="21"/>
          <w:szCs w:val="21"/>
          <w:lang w:eastAsia="zh-CN"/>
        </w:rPr>
        <w:t>：</w:t>
      </w:r>
      <w:r>
        <w:rPr>
          <w:rFonts w:ascii="宋体" w:eastAsia="宋体" w:hAnsi="宋体" w:cs="宋体" w:hint="eastAsia"/>
          <w:sz w:val="21"/>
          <w:szCs w:val="21"/>
        </w:rPr>
        <w:t>吃透政府工作报告、“十五五”规划纲要草案中的关键部署与时政术语。</w:t>
      </w:r>
    </w:p>
    <w:p w14:paraId="0E8CD39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eastAsia="zh-CN"/>
        </w:rPr>
        <w:t>：</w:t>
      </w:r>
      <w:r>
        <w:rPr>
          <w:rFonts w:ascii="宋体" w:eastAsia="宋体" w:hAnsi="宋体" w:cs="宋体" w:hint="eastAsia"/>
          <w:sz w:val="21"/>
          <w:szCs w:val="21"/>
        </w:rPr>
        <w:t>构建“两会举措—教材原理—命题角度”的关联体系，强化跨模块衔接。</w:t>
      </w:r>
    </w:p>
    <w:p w14:paraId="6CED993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规范答题逻辑</w:t>
      </w:r>
      <w:r>
        <w:rPr>
          <w:rFonts w:ascii="宋体" w:eastAsia="宋体" w:hAnsi="宋体" w:cs="宋体" w:hint="eastAsia"/>
          <w:b/>
          <w:bCs/>
          <w:sz w:val="21"/>
          <w:szCs w:val="21"/>
          <w:lang w:eastAsia="zh-CN"/>
        </w:rPr>
        <w:t>：</w:t>
      </w:r>
      <w:r>
        <w:rPr>
          <w:rFonts w:ascii="宋体" w:eastAsia="宋体" w:hAnsi="宋体" w:cs="宋体" w:hint="eastAsia"/>
          <w:sz w:val="21"/>
          <w:szCs w:val="21"/>
        </w:rPr>
        <w:t>重点训练意义类、措施类主观题，提升材料解读与原理结合的能力。</w:t>
      </w:r>
    </w:p>
    <w:p w14:paraId="0E5CA3D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关联实践热点</w:t>
      </w:r>
      <w:r>
        <w:rPr>
          <w:rFonts w:ascii="宋体" w:eastAsia="宋体" w:hAnsi="宋体" w:cs="宋体" w:hint="eastAsia"/>
          <w:b/>
          <w:bCs/>
          <w:sz w:val="21"/>
          <w:szCs w:val="21"/>
          <w:lang w:eastAsia="zh-CN"/>
        </w:rPr>
        <w:t>：</w:t>
      </w:r>
      <w:r>
        <w:rPr>
          <w:rFonts w:ascii="宋体" w:eastAsia="宋体" w:hAnsi="宋体" w:cs="宋体" w:hint="eastAsia"/>
          <w:sz w:val="21"/>
          <w:szCs w:val="21"/>
        </w:rPr>
        <w:t>对接代表委员建言、各地落实两会精神的举措，增强备考针对性。</w:t>
      </w:r>
    </w:p>
    <w:p w14:paraId="1EEAF2F6">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33" name="组合 33"/>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3"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29" style="width:16pt;height:22.05pt" coordorigin="6081,38224" coordsize="389,536">
                <o:lock v:ext="edit" aspectratio="f"/>
                <v:roundrect id="_x0000_s1026" o:spid="_x0000_s1030" style="width:113;height:340;flip:x;left:6358;position:absolute;rotation:13;top:38413;v-text-anchor:middle" arcsize="10923f" coordsize="21600,21600" filled="t" fillcolor="#7ddfd7" stroked="f">
                  <v:stroke joinstyle="miter"/>
                  <o:lock v:ext="edit" aspectratio="f"/>
                </v:roundrect>
                <v:roundrect id="矩形 16" o:spid="_x0000_s1031" style="width:113;height:412;flip:x;left:6225;position:absolute;rotation:8;top:38343;v-text-anchor:middle" arcsize="10923f" coordsize="21600,21600" filled="t" fillcolor="#c81d31" stroked="f">
                  <v:stroke joinstyle="miter"/>
                  <o:lock v:ext="edit" aspectratio="f"/>
                </v:roundrect>
                <v:roundrect id="_x0000_s1026" o:spid="_x0000_s103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1FA1B6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3" w:name="heading_8"/>
      <w:r>
        <w:rPr>
          <w:rFonts w:ascii="宋体" w:eastAsia="宋体" w:hAnsi="宋体" w:cs="宋体" w:hint="eastAsia"/>
          <w:b/>
          <w:color w:val="0070C0"/>
          <w:sz w:val="21"/>
          <w:szCs w:val="21"/>
        </w:rPr>
        <w:t>考向一：政治与法治</w:t>
      </w:r>
      <w:bookmarkEnd w:id="3"/>
    </w:p>
    <w:p w14:paraId="18CBC58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设问1：结合材料，运用相关知识，说明2026年全国两会彰显的全过程人民民主的优势。</w:t>
      </w:r>
    </w:p>
    <w:p w14:paraId="1EB8A74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32FBC5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①全过程人民民主是最广泛、最真实、最管用的民主，2026年全国两会的召开，为人民群众表达意愿、参与国家治理提供了重要平台，彰显了人民当家作主的本质。</w:t>
      </w:r>
    </w:p>
    <w:p w14:paraId="0D5BBBD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②全国人大作为国家权力机关，表决通过政府工作报告、“十五五”规划纲要草案等，依法行使决定权、监督权，体现了民主集中制原则，保障人民意志的实现。</w:t>
      </w:r>
    </w:p>
    <w:p w14:paraId="65675BA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③人民政协积极履行政治协商、民主监督、参政议政职能，代表委员聚焦热点议题建言献策，凝聚社会共识，推动决策科学化、民主化。</w:t>
      </w:r>
    </w:p>
    <w:p w14:paraId="69038F5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④两会始终坚持党的领导，把党的主张通过法定程序转化为国家意志，实现了党的领导、人民当家作主、依法治国的有机统一，彰显了中国特色社会主义民主政治的优势。</w:t>
      </w:r>
    </w:p>
    <w:p w14:paraId="0B9084D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设问2：运用相关知识，分析我国政府应如何落实两会部署，提升治理效能。</w:t>
      </w:r>
    </w:p>
    <w:p w14:paraId="765C66A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F5CA5D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①坚持党的领导，贯彻两会精神，立足“十五五”开局要求，切实履行经济建设、社会建设、生态建设等职能，推动各项部署落地见效。</w:t>
      </w:r>
    </w:p>
    <w:p w14:paraId="06ADCF2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②坚持依法行政，严格按照法定权限和程序履行职责，规范行政行为，自觉接受人大监督、政协监督和社会监督，提升政府公信力。</w:t>
      </w:r>
    </w:p>
    <w:p w14:paraId="57D2906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③坚持科学决策、民主决策，结合各地实际落实两会部署，聚焦群众急难愁盼问题，推出务实举措，增强政策的针对性和可操作性。</w:t>
      </w:r>
    </w:p>
    <w:p w14:paraId="2CA49DD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④转变政府职能，建设服务型政府，优化营商环境，提高行政效率，推动有效市场与有为政府更好结合，切实提升政府治理效能。</w:t>
      </w:r>
    </w:p>
    <w:p w14:paraId="1B7F0FC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考向二：经济与社会</w:t>
      </w:r>
    </w:p>
    <w:p w14:paraId="4CA214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4" w:name="heading_12"/>
      <w:r>
        <w:rPr>
          <w:rFonts w:ascii="宋体" w:eastAsia="宋体" w:hAnsi="宋体" w:cs="宋体" w:hint="eastAsia"/>
          <w:b/>
          <w:sz w:val="21"/>
          <w:szCs w:val="21"/>
        </w:rPr>
        <w:t>设问1：结合材料，运用相关知识，分析2026年两会经济部署对推动高质量发展的重要作用。</w:t>
      </w:r>
      <w:bookmarkEnd w:id="4"/>
    </w:p>
    <w:p w14:paraId="376FF9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B8705B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①两会明确的经济增长目标和宏观调控举措，有利于稳定市场预期、激发市场主体活力，推动经济质的有效提升和量的合理增长，夯实高质量发展基础。</w:t>
      </w:r>
    </w:p>
    <w:p w14:paraId="79F8CFF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②聚焦科技创新与未来产业培育，加大研发投入、强化关键核心技术攻关，有利于培育新质生产力，推动产业升级，增强经济发展核心竞争力。</w:t>
      </w:r>
    </w:p>
    <w:p w14:paraId="6AFB406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③部署扩大内需、发行超长期特别国债等举措，有利于畅通国内大循环，释放超大规模市场潜力，推动需求牵引供给、供给创造需求的动态平衡。</w:t>
      </w:r>
    </w:p>
    <w:p w14:paraId="35564AC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④落实绿色低碳发展目标、设立国家低碳转型基金，有利于推动生产生活方式绿色变革，促进生态保护与经济发展协同推进，实现可持续发展。</w:t>
      </w:r>
    </w:p>
    <w:p w14:paraId="4214096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⑤聚焦民生保障，健全就业、养老等公共服务体系，推动居民收入与经济增长同步，有利于兼顾效率与公平，夯实共同富裕的物质基础，推动高质量发展成果共享。</w:t>
      </w:r>
    </w:p>
    <w:p w14:paraId="2D8274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设问2：运用相关知识，说明我国应如何落实两会部署，培育新质生产力、推动产业升级。</w:t>
      </w:r>
    </w:p>
    <w:p w14:paraId="59EE6FB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9CFFB0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①坚持创新驱动发展战略，落实两会关于科技创新的部署，加大基础研究投入，强化企业创新主体地位，加强量子科技、具身智能等关键核心技术攻关。</w:t>
      </w:r>
    </w:p>
    <w:p w14:paraId="11EE2B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②推动传统产业数智化、绿色化转型，培育壮大新兴产业和未来产业，完善科技创新与产业发展的协同机制，促进科技成果转化应用。</w:t>
      </w:r>
    </w:p>
    <w:p w14:paraId="4C85E8D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③完善教育、科技、人才一体化发展体系，培养创新型人才，为新质生产力培育提供人才支撑，推动创新链、产业链、资金链、人才链深度融合。</w:t>
      </w:r>
    </w:p>
    <w:p w14:paraId="14AA8BD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④发挥市场在资源配置中的决定性作用，更好发挥政府宏观调控作用，优化营商环境，激发各类市场主体创新活力，为产业升级提供制度保障。</w:t>
      </w:r>
    </w:p>
    <w:p w14:paraId="3C69C9F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考向三：中国特色社会主义</w:t>
      </w:r>
    </w:p>
    <w:p w14:paraId="412DBF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5" w:name="heading_15"/>
      <w:r>
        <w:rPr>
          <w:rFonts w:ascii="宋体" w:eastAsia="宋体" w:hAnsi="宋体" w:cs="宋体" w:hint="eastAsia"/>
          <w:b/>
          <w:sz w:val="21"/>
          <w:szCs w:val="21"/>
        </w:rPr>
        <w:t>设问1：结合2026年两会部署，运用相关知识，说明两会对推进中国式现代化的重要意义。</w:t>
      </w:r>
      <w:bookmarkEnd w:id="5"/>
    </w:p>
    <w:p w14:paraId="0068B3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286060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①两会聚焦高质量发展这一中国式现代化的首要任务，部署一系列务实举措，有利于破解发展不平衡不充分问题，推动中国式现代化向纵深发展。</w:t>
      </w:r>
    </w:p>
    <w:p w14:paraId="2C62302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②两会坚持以人民为中心的发展思想，聚焦共同富裕、民生保障等议题，契合中国式现代化“全体人民共同富裕”的特征，有利于实现物质富裕与精神富裕协同推进。</w:t>
      </w:r>
    </w:p>
    <w:p w14:paraId="27D10E9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③两会部署的绿色低碳、科技创新等任务，契合中国式现代化“人与自然和谐共生”的要求，有利于推动发展方式转变，实现可持续发展。</w:t>
      </w:r>
    </w:p>
    <w:p w14:paraId="4AC23AE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④两会彰显了中国特色社会主义制度的显著优势，通过凝聚全国各族人民共识、集中力量办大事，为中国式现代化提供了根本政治保证和强大精神动力，助力实现民族复兴。</w:t>
      </w:r>
    </w:p>
    <w:p w14:paraId="0AAFC4C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设问2：运用相关知识，分析2026年两会部署彰显的中国特色社会主义制度优势。</w:t>
      </w:r>
    </w:p>
    <w:p w14:paraId="7DC6F8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D3622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①彰显了党的领导的显著优势，党总揽全局、协调各方，引领两会顺利召开，将党的主张转化为国家意志，为国家发展指明方向，体现了党的领导是中国特色社会主义最本质的特征。</w:t>
      </w:r>
    </w:p>
    <w:p w14:paraId="13786B5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②彰显了集中力量办大事的制度优势，两会部署的超长期特别国债、国家低碳转型基金等重大举措，统筹各方资源，着力破解发展难题，展现了社会主义制度的强大动员能力。</w:t>
      </w:r>
    </w:p>
    <w:p w14:paraId="093B38F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③彰显了以人民为中心的制度优势，两会聚焦就业、养老、教育等民生议题，推出一系列惠民举措，始终把人民利益放在首位，体现了中国特色社会主义制度的价值追求。</w:t>
      </w:r>
    </w:p>
    <w:p w14:paraId="02EE45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④彰显了全过程人民民主的制度优势，代表委员积极履职、建言献策，实现了人民群众有序参与国家治理，体现了人民当家作主的本质，彰显了制度的优越性。</w:t>
      </w:r>
    </w:p>
    <w:p w14:paraId="01CF856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考向四：哲学与文化</w:t>
      </w:r>
    </w:p>
    <w:p w14:paraId="15D75D6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6" w:name="heading_18"/>
      <w:r>
        <w:rPr>
          <w:rFonts w:ascii="宋体" w:eastAsia="宋体" w:hAnsi="宋体" w:cs="宋体" w:hint="eastAsia"/>
          <w:b/>
          <w:sz w:val="21"/>
          <w:szCs w:val="21"/>
        </w:rPr>
        <w:t>设问1：运用唯物辩证法知识，分析2026年两会部署的科学思维方法。</w:t>
      </w:r>
      <w:bookmarkEnd w:id="6"/>
    </w:p>
    <w:p w14:paraId="688E1A4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5EF814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①坚持整体与部分的辩证统一，两会部署立足“十五五”开局全局，统筹经济、政治、文化、社会、生态文明建设，同时明确各领域具体任务，实现全局与局部的有机统一。</w:t>
      </w:r>
    </w:p>
    <w:p w14:paraId="69EC670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②坚持系统优化方法，围绕高质量发展主题，统筹科技创新、扩大内需、绿色低碳、民生保障等多个方面，注重各领域协同发力，形成推动发展的强大合力。</w:t>
      </w:r>
    </w:p>
    <w:p w14:paraId="07F9B37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③坚持矛盾普遍性与特殊性的辩证统一，两会明确全国统一的发展目标和部署，同时鼓励各地结合自身实际落实举措，实现顶层设计与基层探索的有机结合。</w:t>
      </w:r>
    </w:p>
    <w:p w14:paraId="347237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④坚持两点论与重点论的统一，以高质量发展为核心重点，聚焦新质生产力培育、共同富裕等关键任务，同时兼顾稳增长与防风险、发展与安全，做到统筹兼顾、重点突破。</w:t>
      </w:r>
    </w:p>
    <w:p w14:paraId="2B817D2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设问2：运用相关知识，说明弘扬两会精神对推动高质量发展、奋进新征程的文化支撑作用。</w:t>
      </w:r>
    </w:p>
    <w:p w14:paraId="4859B2B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FFDD89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①文化作为一种精神力量，能够转化为物质力量，弘扬两会精神，凝聚“锚定新目标、奋力开新局”的共识，为高质量发展和新征程提供强大精神动力。</w:t>
      </w:r>
    </w:p>
    <w:p w14:paraId="7A648C3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②弘扬创新、奋斗、实干的两会精神，培育社会主义核心价值观，能够激发全社会创新活力和奋斗热情，为新质生产力培育、产业升级提供精神支撑。</w:t>
      </w:r>
    </w:p>
    <w:p w14:paraId="6693B82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③加强两会精神的传播，推动精神文明建设，提升全民思想道德素养和科学文化素养，引导全社会树立正确的发展观、价值观，凝聚起奋进新征程的磅礴力量。</w:t>
      </w:r>
    </w:p>
    <w:p w14:paraId="61BCD6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④传承中华优秀传统文化中的奋斗精神、团结精神，结合两会精神培育新时代奋斗文化，推动物质文明与精神文明协调发展，助力高质量发展和民族复兴。</w:t>
      </w:r>
    </w:p>
    <w:p w14:paraId="359ACC91">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76" name="组合 76"/>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77"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78"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79"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33" style="width:16pt;height:22.05pt" coordorigin="6081,38224" coordsize="389,536">
                <o:lock v:ext="edit" aspectratio="f"/>
                <v:roundrect id="圆角矩形 13" o:spid="_x0000_s1034" style="width:113;height:340;flip:x;left:6358;position:absolute;rotation:13;top:38413;v-text-anchor:middle" arcsize="10923f" coordsize="21600,21600" filled="t" fillcolor="#2e54a1" stroked="f">
                  <v:stroke joinstyle="miter"/>
                  <o:lock v:ext="edit" aspectratio="f"/>
                </v:roundrect>
                <v:roundrect id="矩形 16" o:spid="_x0000_s1035" style="width:113;height:412;flip:x;left:6225;position:absolute;rotation:8;top:38343;v-text-anchor:middle" arcsize="10923f" coordsize="21600,21600" filled="t" fillcolor="#c81d31" stroked="f">
                  <v:stroke joinstyle="miter"/>
                  <o:lock v:ext="edit" aspectratio="f"/>
                </v:roundrect>
                <v:roundrect id="圆角矩形 14" o:spid="_x0000_s103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50046CB5">
      <w:pPr>
        <w:shd w:val="clear" w:color="auto" w:fill="E9FAF8"/>
        <w:spacing w:before="0" w:after="0" w:line="360" w:lineRule="auto"/>
        <w:jc w:val="left"/>
        <w:textAlignment w:val="center"/>
        <w:rPr>
          <w:rFonts w:ascii="黑体" w:eastAsia="黑体" w:hAnsi="黑体" w:cs="黑体" w:hint="eastAsia"/>
          <w:b/>
          <w:bCs/>
          <w:color w:val="0070C0"/>
          <w:sz w:val="21"/>
          <w:lang w:val="en-US" w:eastAsia="zh-CN"/>
        </w:rPr>
      </w:pPr>
      <w:r>
        <w:rPr>
          <w:rFonts w:ascii="黑体" w:eastAsia="黑体" w:hAnsi="黑体" w:cs="黑体" w:hint="eastAsia"/>
          <w:b/>
          <w:bCs/>
          <w:color w:val="0070C0"/>
          <w:sz w:val="21"/>
          <w:lang w:val="en-US" w:eastAsia="zh-CN"/>
        </w:rPr>
        <w:t xml:space="preserve"> </w:t>
      </w:r>
      <w:r>
        <w:rPr>
          <w:rFonts w:ascii="宋体" w:eastAsia="宋体" w:hAnsi="宋体" w:cs="宋体" w:hint="eastAsia"/>
          <w:b/>
          <w:bCs/>
          <w:color w:val="0070C0"/>
          <w:sz w:val="21"/>
          <w:lang w:val="en-US" w:eastAsia="zh-CN"/>
        </w:rPr>
        <w:t xml:space="preserve"> 考向一：政治与法治——两会彰显的政治逻辑与治理效能</w:t>
      </w:r>
    </w:p>
    <w:p w14:paraId="2EF220D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2026年全国两会期间，十四届全国人大四次会议表决通过了政府工作报告、“十五五”规划纲要草案等重要文件，全国政协委员围绕具身智能、普惠养老等热点议题积极建言献策。这体现了我国（ ）</w:t>
      </w:r>
    </w:p>
    <w:p w14:paraId="30AADE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①全国人大行使立法权，完善中国特色社会主义法律体系</w:t>
      </w:r>
    </w:p>
    <w:p w14:paraId="619C6F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②人民政协履行参政议政职能，助力决策科学化民主化</w:t>
      </w:r>
    </w:p>
    <w:p w14:paraId="38D31F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③全过程人民民主的真实性、广泛性，彰显人民当家作主</w:t>
      </w:r>
    </w:p>
    <w:p w14:paraId="596F5D8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④政府是人大的执行机关，对人大负责、受人大监督</w:t>
      </w:r>
    </w:p>
    <w:p w14:paraId="01F105D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②③ C. ①④ D. ③④</w:t>
      </w:r>
    </w:p>
    <w:p w14:paraId="5084E7F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楷体" w:eastAsia="楷体" w:hAnsi="楷体" w:cs="楷体" w:hint="eastAsia"/>
          <w:sz w:val="21"/>
          <w:szCs w:val="21"/>
        </w:rPr>
        <w:t>2026年全国两会期间，代表委员围绕“优化法治化营商环境”积极建言献策，提出“完善民营经济促进法配套政策”“规范涉企执法行为”等建议。十四届全国人大四次会议表决通过的政府工作报告明确提出，推进法治政府建设，严格规范公正文明执法，依法保护各类市场主体合法权益，持续优化法治化营商环境，助力高质量发展。</w:t>
      </w:r>
    </w:p>
    <w:p w14:paraId="4CE059F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结合材料，运用《政治与法治》知识，说明我国如何通过两会部署推进法治化营商环境建设。</w:t>
      </w:r>
    </w:p>
    <w:p w14:paraId="441B8BFA">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7" name="图片 7"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943CD7F">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sz w:val="22"/>
        </w:rPr>
      </w:pPr>
      <w:r>
        <w:rPr>
          <w:sz w:val="22"/>
        </w:rPr>
        <mc:AlternateContent>
          <mc:Choice Requires="wps">
            <w:drawing>
              <wp:inline distT="0" distB="0" distL="114300" distR="114300">
                <wp:extent cx="6219825" cy="1243965"/>
                <wp:effectExtent l="6350" t="6350" r="22225" b="6985"/>
                <wp:docPr id="9" name="文本框 9"/>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24396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eastAsia="宋体" w:hint="eastAsia"/>
                                <w:lang w:eastAsia="zh-CN"/>
                              </w:rPr>
                            </w:pPr>
                            <w:r>
                              <w:rPr>
                                <w:rFonts w:ascii="宋体" w:eastAsia="宋体" w:hAnsi="宋体" w:cs="宋体" w:hint="eastAsia"/>
                                <w:sz w:val="21"/>
                                <w:szCs w:val="21"/>
                              </w:rPr>
                              <w:t>措施类主观题，先明确“主体+任务”，本题主体是人大、政协、政府，任务是“推进法治化营商环境”；再结合两会情境，紧扣“人大表决、政协建言、政府落实”的逻辑，分层作答；答题时注意使用“坚持、落实、履行、推进”等规范动词，确保术语准确，每点均对应“两会部署”这一核心情境，避免脱离材料泛谈原理。</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37" style="width:489.75pt;height:97.95pt" arcsize="5680f" coordsize="21600,21600" filled="t" fillcolor="#fce6d5" stroked="t" strokecolor="#249087">
                <v:fill opacity="26214f"/>
                <v:stroke joinstyle="round" dashstyle="longDashDotDot"/>
                <o:lock v:ext="edit" aspectratio="f"/>
                <v:textbox>
                  <w:txbxContent>
                    <w:p w14:paraId="39B0234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eastAsia="宋体" w:hint="eastAsia"/>
                          <w:lang w:eastAsia="zh-CN"/>
                        </w:rPr>
                      </w:pPr>
                      <w:r>
                        <w:rPr>
                          <w:rFonts w:ascii="宋体" w:eastAsia="宋体" w:hAnsi="宋体" w:cs="宋体" w:hint="eastAsia"/>
                          <w:sz w:val="21"/>
                          <w:szCs w:val="21"/>
                        </w:rPr>
                        <w:t>措施类主观题，先明确“主体+任务”，本题主体是人大、政协、政府，任务是“推进法治化营商环境”；再结合两会情境，紧扣“人大表决、政协建言、政府落实”的逻辑，分层作答；答题时注意使用“坚持、落实、履行、推进”等规范动词，确保术语准确，每点均对应“两会部署”这一核心情境，避免脱离材料泛谈原理。</w:t>
                      </w:r>
                    </w:p>
                  </w:txbxContent>
                </v:textbox>
                <w10:anchorlock/>
              </v:roundrect>
            </w:pict>
          </mc:Fallback>
        </mc:AlternateContent>
      </w:r>
    </w:p>
    <w:p w14:paraId="4EA228CE">
      <w:pPr>
        <w:shd w:val="clear" w:color="auto" w:fill="E9FAF8"/>
        <w:spacing w:before="0" w:after="0" w:line="360" w:lineRule="auto"/>
        <w:jc w:val="left"/>
        <w:textAlignment w:val="center"/>
        <w:rPr>
          <w:rFonts w:ascii="宋体" w:eastAsia="宋体" w:hAnsi="宋体" w:cs="宋体" w:hint="eastAsia"/>
          <w:b/>
          <w:bCs/>
          <w:color w:val="0070C0"/>
          <w:sz w:val="21"/>
          <w:lang w:val="en-US" w:eastAsia="zh-CN"/>
        </w:rPr>
      </w:pPr>
      <w:r>
        <w:rPr>
          <w:rFonts w:ascii="宋体" w:eastAsia="宋体" w:hAnsi="宋体" w:cs="宋体" w:hint="eastAsia"/>
          <w:b/>
          <w:bCs/>
          <w:color w:val="0070C0"/>
          <w:sz w:val="21"/>
          <w:lang w:val="en-US" w:eastAsia="zh-CN"/>
        </w:rPr>
        <w:t xml:space="preserve">  考向二：经济与社会——两会部署与高质量发展的经济实践</w:t>
      </w:r>
    </w:p>
    <w:p w14:paraId="1C940F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2026年全国两会明确提出，培育新质生产力，加大基础研究投入，推动传统产业数智化、绿色化转型，发行超长期特别国债支持重大项目建设，扩大内需、释放消费潜力。这些部署体现的经济道理是（ ）</w:t>
      </w:r>
    </w:p>
    <w:p w14:paraId="761AE73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①创新是引领高质量发展的第一动力</w:t>
      </w:r>
    </w:p>
    <w:p w14:paraId="6BBAFA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②宏观调控是社会主义市场经济的根本特征</w:t>
      </w:r>
    </w:p>
    <w:p w14:paraId="610834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③扩大内需是推动高质量发展的战略基点</w:t>
      </w:r>
    </w:p>
    <w:p w14:paraId="57308FD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④绿色发展是实现共同富裕的根本途径</w:t>
      </w:r>
    </w:p>
    <w:p w14:paraId="7A3AE0D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27AB5E7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楷体" w:eastAsia="楷体" w:hAnsi="楷体" w:cs="楷体" w:hint="eastAsia"/>
          <w:sz w:val="21"/>
          <w:szCs w:val="21"/>
        </w:rPr>
        <w:t>2026年政府工作报告明确了全年发展主要预期目标，经济增长4.5%－5%，城镇新增就业1200万人以上，单位国内生产总值二氧化碳排放降低3.8%左右；同时部署重点任务：发行超长期特别国债1.3万亿元，支持重大项目建设；实施大规模设备更新和消费品以旧换新政策，提振消费；强化关键核心技术攻关，培育未来产业，推动高质量发展。</w:t>
      </w:r>
    </w:p>
    <w:p w14:paraId="3F4E255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结合材料，运用《经济与社会》知识，分析2026年两会经济部署对推动高质量发展的作用。</w:t>
      </w:r>
    </w:p>
    <w:p w14:paraId="28BAF31A">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9" name="图片 19"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F4A11DA">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rFonts w:ascii="宋体" w:eastAsia="宋体" w:hAnsi="宋体" w:cs="宋体" w:hint="eastAsia"/>
          <w:sz w:val="21"/>
          <w:szCs w:val="21"/>
        </w:rPr>
      </w:pPr>
      <w:r>
        <w:rPr>
          <w:sz w:val="22"/>
        </w:rPr>
        <mc:AlternateContent>
          <mc:Choice Requires="wps">
            <w:drawing>
              <wp:inline distT="0" distB="0" distL="114300" distR="114300">
                <wp:extent cx="6219825" cy="1282700"/>
                <wp:effectExtent l="6350" t="6350" r="22225" b="6350"/>
                <wp:docPr id="21" name="文本框 21"/>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28270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分点对应、层层递进”思路，先提取材料中的具体部署，再对接教材中高质量发展的相关原理，最后分析该部署对高质量发展的具体作用；注意术语规范，如“新质生产力”“国内大循环”“宏观调控”等，避免白话表述；结合两会最新数据（如超长期特别国债1.3万亿元、碳排放降低3.8%），增强答案的针对性和时政性。</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38" style="width:489.75pt;height:101pt" arcsize="5680f" coordsize="21600,21600" filled="t" fillcolor="#fce6d5" stroked="t" strokecolor="#249087">
                <v:fill opacity="26214f"/>
                <v:stroke joinstyle="round" dashstyle="longDashDotDot"/>
                <o:lock v:ext="edit" aspectratio="f"/>
                <v:textbox>
                  <w:txbxContent>
                    <w:p w14:paraId="7D24227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分点对应、层层递进”思路，先提取材料中的具体部署，再对接教材中高质量发展的相关原理，最后分析该部署对高质量发展的具体作用；注意术语规范，如“新质生产力”“国内大循环”“宏观调控”等，避免白话表述；结合两会最新数据（如超长期特别国债1.3万亿元、碳排放降低3.8%），增强答案的针对性和时政性。</w:t>
                      </w:r>
                    </w:p>
                    <w:p w14:paraId="1D2E2A07"/>
                  </w:txbxContent>
                </v:textbox>
                <w10:anchorlock/>
              </v:roundrect>
            </w:pict>
          </mc:Fallback>
        </mc:AlternateContent>
      </w:r>
    </w:p>
    <w:p w14:paraId="50E12A90">
      <w:pPr>
        <w:shd w:val="clear" w:color="auto" w:fill="E9FAF8"/>
        <w:spacing w:before="0" w:after="0" w:line="360" w:lineRule="auto"/>
        <w:jc w:val="left"/>
        <w:textAlignment w:val="center"/>
        <w:rPr>
          <w:rFonts w:ascii="黑体" w:eastAsia="黑体" w:hAnsi="黑体" w:cs="黑体" w:hint="eastAsia"/>
          <w:b/>
          <w:bCs/>
          <w:color w:val="auto"/>
          <w:sz w:val="21"/>
          <w:lang w:val="en-US" w:eastAsia="zh-CN"/>
        </w:rPr>
      </w:pPr>
      <w:r>
        <w:rPr>
          <w:rFonts w:ascii="黑体" w:eastAsia="黑体" w:hAnsi="黑体" w:cs="黑体" w:hint="eastAsia"/>
          <w:b/>
          <w:bCs/>
          <w:color w:val="auto"/>
          <w:sz w:val="21"/>
          <w:lang w:val="en-US" w:eastAsia="zh-CN"/>
        </w:rPr>
        <w:t xml:space="preserve"> </w:t>
      </w:r>
      <w:r>
        <w:rPr>
          <w:rFonts w:ascii="黑体" w:eastAsia="黑体" w:hAnsi="黑体" w:cs="黑体" w:hint="eastAsia"/>
          <w:b/>
          <w:bCs/>
          <w:color w:val="C00000"/>
          <w:sz w:val="21"/>
          <w:lang w:val="en-US" w:eastAsia="zh-CN"/>
        </w:rPr>
        <w:t xml:space="preserve"> </w:t>
      </w:r>
      <w:r>
        <w:rPr>
          <w:rFonts w:ascii="黑体" w:eastAsia="黑体" w:hAnsi="黑体" w:cs="黑体" w:hint="eastAsia"/>
          <w:b/>
          <w:bCs/>
          <w:color w:val="0070C0"/>
          <w:sz w:val="21"/>
          <w:lang w:val="en-US" w:eastAsia="zh-CN"/>
        </w:rPr>
        <w:t xml:space="preserve"> </w:t>
      </w:r>
      <w:r>
        <w:rPr>
          <w:rFonts w:ascii="宋体" w:eastAsia="宋体" w:hAnsi="宋体" w:cs="宋体" w:hint="eastAsia"/>
          <w:b/>
          <w:bCs/>
          <w:color w:val="0070C0"/>
          <w:sz w:val="21"/>
          <w:lang w:val="en-US" w:eastAsia="zh-CN"/>
        </w:rPr>
        <w:t>考向 三： 矛中国特色社会主义——两会与中国式现代化的推进</w:t>
      </w:r>
    </w:p>
    <w:p w14:paraId="6853B77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2026年全国两会立足“十五五”开局之年，聚焦高质量发展、共同富裕、绿色低碳等核心议题，部署一系列务实举措，为中国式现代化注入强劲动力。这表明（ ）</w:t>
      </w:r>
    </w:p>
    <w:p w14:paraId="4E54FA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①高质量发展是中国式现代化的首要任务</w:t>
      </w:r>
    </w:p>
    <w:p w14:paraId="008400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②中国式现代化是全体人民共同富裕的现代化</w:t>
      </w:r>
    </w:p>
    <w:p w14:paraId="3423E2B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③两会是推进中国式现代化的根本政治保证</w:t>
      </w:r>
    </w:p>
    <w:p w14:paraId="2E143BC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④中国特色社会主义制度具有集中力量办大事的优势</w:t>
      </w:r>
    </w:p>
    <w:p w14:paraId="74A07D5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76ADB4A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楷体" w:eastAsia="楷体" w:hAnsi="楷体" w:cs="楷体" w:hint="eastAsia"/>
          <w:sz w:val="21"/>
          <w:szCs w:val="21"/>
        </w:rPr>
        <w:t>2026年是“十五五”规划开局之年，全国两会总结2025年发展成就，部署2026年重点工作，聚焦中国式现代化建设，从科技创新、绿色低碳、民生保障、全面深化改革等方面推出一系列举措，凝聚起全国各族人民奋进新征程的磅礴力量，彰显了中国特色社会主义制度的显著优势。</w:t>
      </w:r>
    </w:p>
    <w:p w14:paraId="1FD8A6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结合材料，运用《中国特色社会主义》知识，说明2026年两会部署如何彰显中国特色社会主义制度优势，助力中国式现代化推进。</w:t>
      </w:r>
    </w:p>
    <w:p w14:paraId="7A783072">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2" name="图片 2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3B5381F">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sz w:val="22"/>
        </w:rPr>
      </w:pPr>
      <w:r>
        <w:rPr>
          <w:sz w:val="22"/>
        </w:rPr>
        <mc:AlternateContent>
          <mc:Choice Requires="wps">
            <w:drawing>
              <wp:inline distT="0" distB="0" distL="114300" distR="114300">
                <wp:extent cx="6219825" cy="1262380"/>
                <wp:effectExtent l="6350" t="6350" r="22225" b="7620"/>
                <wp:docPr id="23" name="文本框 2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26238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体现类主观题，遵循“材料→原理→阐释”的思路，先明确中国特色社会主义的核心制度优势（党的领导、集中力量办大事等），再从材料中提取对应两会部署，最后阐释该部署如何彰显制度优势、助力中国式现代化；答题时注意分层，每点突出一种制度优势，避免交叉重复，术语规范且贴合时政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39" style="width:489.75pt;height:99.4pt" arcsize="5680f" coordsize="21600,21600" filled="t" fillcolor="#fce6d5" stroked="t" strokecolor="#249087">
                <v:fill opacity="26214f"/>
                <v:stroke joinstyle="round" dashstyle="longDashDotDot"/>
                <o:lock v:ext="edit" aspectratio="f"/>
                <v:textbox>
                  <w:txbxContent>
                    <w:p w14:paraId="75972D1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体现类主观题，遵循“材料→原理→阐释”的思路，先明确中国特色社会主义的核心制度优势（党的领导、集中力量办大事等），再从材料中提取对应两会部署，最后阐释该部署如何彰显制度优势、助力中国式现代化；答题时注意分层，每点突出一种制度优势，避免交叉重复，术语规范且贴合时政情境。</w:t>
                      </w:r>
                    </w:p>
                    <w:p w14:paraId="326E17FC"/>
                  </w:txbxContent>
                </v:textbox>
                <w10:anchorlock/>
              </v:roundrect>
            </w:pict>
          </mc:Fallback>
        </mc:AlternateContent>
      </w:r>
    </w:p>
    <w:p w14:paraId="1C3D15D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黑体" w:eastAsia="黑体" w:hAnsi="黑体" w:cs="黑体" w:hint="eastAsia"/>
          <w:b/>
          <w:bCs/>
          <w:color w:val="auto"/>
          <w:sz w:val="21"/>
          <w:lang w:val="en-US" w:eastAsia="zh-CN"/>
        </w:rPr>
      </w:pPr>
      <w:r>
        <w:rPr>
          <w:rFonts w:ascii="黑体" w:eastAsia="黑体" w:hAnsi="黑体" w:cs="黑体" w:hint="eastAsia"/>
          <w:b/>
          <w:bCs/>
          <w:color w:val="C00000"/>
          <w:sz w:val="21"/>
          <w:lang w:val="en-US" w:eastAsia="zh-CN"/>
        </w:rPr>
        <w:t xml:space="preserve"> </w:t>
      </w:r>
      <w:r>
        <w:rPr>
          <w:rFonts w:ascii="宋体" w:eastAsia="宋体" w:hAnsi="宋体" w:cs="宋体" w:hint="eastAsia"/>
          <w:b/>
          <w:bCs/>
          <w:color w:val="C00000"/>
          <w:sz w:val="21"/>
          <w:lang w:val="en-US" w:eastAsia="zh-CN"/>
        </w:rPr>
        <w:t xml:space="preserve"> </w:t>
      </w:r>
      <w:r>
        <w:rPr>
          <w:rFonts w:ascii="宋体" w:eastAsia="宋体" w:hAnsi="宋体" w:cs="宋体" w:hint="eastAsia"/>
          <w:b/>
          <w:bCs/>
          <w:color w:val="0070C0"/>
          <w:sz w:val="21"/>
          <w:lang w:val="en-US" w:eastAsia="zh-CN"/>
        </w:rPr>
        <w:t>考向 四：哲学与文化——两会部署的哲学思维与文化支撑</w:t>
      </w:r>
    </w:p>
    <w:p w14:paraId="57938C3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典例1</w:t>
      </w:r>
      <w:r>
        <w:rPr>
          <w:rFonts w:ascii="宋体" w:eastAsia="宋体" w:hAnsi="宋体" w:cs="宋体" w:hint="eastAsia"/>
          <w:b/>
          <w:sz w:val="21"/>
          <w:szCs w:val="21"/>
          <w:lang w:eastAsia="zh-CN"/>
        </w:rPr>
        <w:t>：</w:t>
      </w:r>
      <w:r>
        <w:rPr>
          <w:rFonts w:ascii="宋体" w:eastAsia="宋体" w:hAnsi="宋体" w:cs="宋体" w:hint="eastAsia"/>
          <w:sz w:val="21"/>
          <w:szCs w:val="21"/>
        </w:rPr>
        <w:t>2026年全国两会既立足“十五五”开局全局，统筹经济、政治、文化、社会、生态文明建设，又聚焦新质生产力培育、共同富裕等关键任务，推动各项部署协同发力。这体现的唯物辩证法道理是（ ）</w:t>
      </w:r>
    </w:p>
    <w:p w14:paraId="6F779D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w:t>
      </w:r>
    </w:p>
    <w:p w14:paraId="3A7D880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w:t>
      </w:r>
    </w:p>
    <w:p w14:paraId="3D17F8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③坚持量变与质变的辩证统一</w:t>
      </w:r>
    </w:p>
    <w:p w14:paraId="05F2531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④坚持矛盾普遍性与特殊性的统一</w:t>
      </w:r>
    </w:p>
    <w:p w14:paraId="6B1B493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030505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rPr>
        <w:t>典例</w:t>
      </w:r>
      <w:r>
        <w:rPr>
          <w:rFonts w:ascii="宋体" w:eastAsia="宋体" w:hAnsi="宋体" w:cs="宋体" w:hint="eastAsia"/>
          <w:b/>
          <w:sz w:val="21"/>
          <w:szCs w:val="21"/>
          <w:lang w:val="en-US" w:eastAsia="zh-CN"/>
        </w:rPr>
        <w:t>2</w:t>
      </w:r>
      <w:r>
        <w:rPr>
          <w:rFonts w:ascii="宋体" w:eastAsia="宋体" w:hAnsi="宋体" w:cs="宋体" w:hint="eastAsia"/>
          <w:b/>
          <w:sz w:val="21"/>
          <w:szCs w:val="21"/>
          <w:lang w:eastAsia="zh-CN"/>
        </w:rPr>
        <w:t>：</w:t>
      </w:r>
      <w:r>
        <w:rPr>
          <w:rFonts w:ascii="宋体" w:eastAsia="宋体" w:hAnsi="宋体" w:cs="宋体" w:hint="eastAsia"/>
          <w:sz w:val="21"/>
          <w:szCs w:val="21"/>
        </w:rPr>
        <w:t>2</w:t>
      </w:r>
      <w:r>
        <w:rPr>
          <w:rFonts w:ascii="楷体" w:eastAsia="楷体" w:hAnsi="楷体" w:cs="楷体" w:hint="eastAsia"/>
          <w:sz w:val="21"/>
          <w:szCs w:val="21"/>
        </w:rPr>
        <w:t>026年全国两会强调，要弘扬创新、奋斗、实干的精神，加强精神文明建设，传承中华优秀传统文化中的奋斗精神、团结精神，培育新时代奋斗文化，推动两会精神深入人心，凝聚奋进新征程的精神力量，为高质量发展和中国式现代化提供强大文化支撑。</w:t>
      </w:r>
    </w:p>
    <w:p w14:paraId="3CBC3D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结合材料，运用《哲学与文化》知识，说明弘扬两会精神、加强文化建设对推进中国式现代化的支撑作用。</w:t>
      </w:r>
    </w:p>
    <w:p w14:paraId="662E42F1">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8" name="图片 8"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AEA726C">
      <w:pPr>
        <w:keepNext w:val="0"/>
        <w:keepLines w:val="0"/>
        <w:pageBreakBefore w:val="0"/>
        <w:widowControl w:val="0"/>
        <w:shd w:val="clear" w:color="auto" w:fill="auto"/>
        <w:kinsoku/>
        <w:wordWrap/>
        <w:overflowPunct/>
        <w:topLinePunct w:val="0"/>
        <w:autoSpaceDE/>
        <w:autoSpaceDN/>
        <w:bidi w:val="0"/>
        <w:adjustRightInd/>
        <w:snapToGrid/>
        <w:spacing w:before="0" w:after="0" w:line="360" w:lineRule="auto"/>
        <w:jc w:val="left"/>
        <w:textAlignment w:val="center"/>
        <w:rPr>
          <w:sz w:val="22"/>
        </w:rPr>
      </w:pPr>
      <w:r>
        <w:rPr>
          <w:sz w:val="22"/>
        </w:rPr>
        <mc:AlternateContent>
          <mc:Choice Requires="wps">
            <w:drawing>
              <wp:inline distT="0" distB="0" distL="114300" distR="114300">
                <wp:extent cx="6219825" cy="1311275"/>
                <wp:effectExtent l="6350" t="6350" r="22225" b="15875"/>
                <wp:docPr id="10" name="文本框 10"/>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31127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pPr>
                            <w:r>
                              <w:rPr>
                                <w:rFonts w:ascii="宋体" w:eastAsia="宋体" w:hAnsi="宋体" w:cs="宋体" w:hint="eastAsia"/>
                                <w:sz w:val="21"/>
                                <w:szCs w:val="21"/>
                              </w:rPr>
                              <w:t>跨模块主观题（哲学+文化），先明确设问要求的两个知识角度，避免遗漏；哲学角度优先对接“社会意识、价值观”等与“精神、文化”相关的原理，文化角度紧扣“精神力量、核心价值观、文化传承”等知识点；答题时注意分角度标注，每点结合两会精神的具体内容，避免泛谈原理，确保“原理+材料+作用”一一对应。</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40" style="width:489.75pt;height:103.25pt" arcsize="5680f" coordsize="21600,21600" filled="t" fillcolor="#fce6d5" stroked="t" strokecolor="#249087">
                <v:fill opacity="26214f"/>
                <v:stroke joinstyle="round" dashstyle="longDashDotDot"/>
                <o:lock v:ext="edit" aspectratio="f"/>
                <v:textbox>
                  <w:txbxContent>
                    <w:p w14:paraId="5239677D">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pPr>
                      <w:r>
                        <w:rPr>
                          <w:rFonts w:ascii="宋体" w:eastAsia="宋体" w:hAnsi="宋体" w:cs="宋体" w:hint="eastAsia"/>
                          <w:sz w:val="21"/>
                          <w:szCs w:val="21"/>
                        </w:rPr>
                        <w:t>跨模块主观题（哲学+文化），先明确设问要求的两个知识角度，避免遗漏；哲学角度优先对接“社会意识、价值观”等与“精神、文化”相关的原理，文化角度紧扣“精神力量、核心价值观、文化传承”等知识点；答题时注意分角度标注，每点结合两会精神的具体内容，避免泛谈原理，确保“原理+材料+作用”一一对应。</w:t>
                      </w:r>
                    </w:p>
                  </w:txbxContent>
                </v:textbox>
                <w10:anchorlock/>
              </v:roundrect>
            </w:pict>
          </mc:Fallback>
        </mc:AlternateContent>
      </w:r>
    </w:p>
    <w:p w14:paraId="30B0D28D">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84" name="组合 84"/>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85"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6"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7"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41" style="width:16pt;height:22.05pt" coordorigin="6081,38224" coordsize="389,536">
                <o:lock v:ext="edit" aspectratio="f"/>
                <v:roundrect id="圆角矩形 13" o:spid="_x0000_s1042" style="width:113;height:340;flip:x;left:6358;position:absolute;rotation:13;top:38413;v-text-anchor:middle" arcsize="10923f" coordsize="21600,21600" filled="t" fillcolor="#7ddfd7" stroked="f">
                  <v:stroke joinstyle="miter"/>
                  <o:lock v:ext="edit" aspectratio="f"/>
                </v:roundrect>
                <v:roundrect id="矩形 16" o:spid="_x0000_s1043" style="width:113;height:412;flip:x;left:6225;position:absolute;rotation:8;top:38343;v-text-anchor:middle" arcsize="10923f" coordsize="21600,21600" filled="t" fillcolor="#c81d31" stroked="f">
                  <v:stroke joinstyle="miter"/>
                  <o:lock v:ext="edit" aspectratio="f"/>
                </v:roundrect>
                <v:roundrect id="圆角矩形 14" o:spid="_x0000_s104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4B20F256">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126788F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2026年3月8日，王毅在两会记者会上发言指出，全球治理倡议发出的最清晰信号是：联合国的主导地位必须坚持、不容动摇；联合国的核心作用应当加强、不能削弱；倡议提出的最明确要求是，联合国需要与时俱进，通过改革完善治理体系适应21世纪国际形势的发展和世界力量对比发生的变化。我国强调联合国主导地位、推动联合国改革的依据在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78B2C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①联合国改革应增强发展中国家话语权</w:t>
      </w:r>
    </w:p>
    <w:p w14:paraId="7438040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②联合国是实践多边主义的最佳场所</w:t>
      </w:r>
    </w:p>
    <w:p w14:paraId="74674CE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③联合国权威高于国家主权，构成全球治理的基础</w:t>
      </w:r>
    </w:p>
    <w:p w14:paraId="4A822F0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④全球性挑战层出不穷，现有机制效能不足、应对滞后</w:t>
      </w:r>
    </w:p>
    <w:p w14:paraId="5A753D1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0A3D308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2026年3月，全国“两会”期间，“十五五”规划成为代表委员热议的焦点。规划强调要“立足新发展阶段，深入实施区域协调发展战略”，支持革命老区、民族地区加快发展。同时，2025年12月海南自贸港全岛封关运作的经验表明，通过制度集成创新可以激发后发地区巨大潜能。对此认识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00A79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①中国共产党的领导是中国特色社会主义最本质的特征，能够统筹区域协同发展</w:t>
      </w:r>
    </w:p>
    <w:p w14:paraId="5010EA9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②人类社会发展的一般进程是由各国、各地区、各民族历史的多样性反映出来的</w:t>
      </w:r>
    </w:p>
    <w:p w14:paraId="70ED71D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③社会发展的总趋势是前进的、上升的，后发地区可以超越必经阶段实现现代化</w:t>
      </w:r>
    </w:p>
    <w:p w14:paraId="2128FD9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④海南自贸港的封关运作标志着我国对外开放进入了所有人都普遍受益的新阶段</w:t>
      </w:r>
    </w:p>
    <w:p w14:paraId="3B5769FF">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75D4C64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2026年3月8日，中共中央政治局委员、外交部长王毅在两会记者会上指出：“元首外交是中国外交的定盘星。习近平主席亲自擘画指挥的中国外交，为动荡世界提供了最宝贵的稳定性和确定性，成为全球乱局中不可替代的中流砥柱。”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92BB3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①独立自主是我国外交政策的基本立场</w:t>
      </w:r>
    </w:p>
    <w:p w14:paraId="3B42128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②中国特色大国外交为应对全球性挑战提供中国智慧</w:t>
      </w:r>
    </w:p>
    <w:p w14:paraId="4AD9A2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③我国与世界各国的合作表明各国的根本利益一致</w:t>
      </w:r>
    </w:p>
    <w:p w14:paraId="0617F5A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④中国在国际事务中的代表性和话语权进一步增强</w:t>
      </w:r>
    </w:p>
    <w:p w14:paraId="4EB6FBC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4FF26D0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2026年全国两会期间，“人工智能+养老”成为热门话题。针对当前人工智能应用到养老服务领域中存在的设备成本较高、数据标准不统一、老年群体面临数字鸿沟等问题，人大代表建议打破智能设备与服务平台的数据壁垒，提升服务能力；政协委员提出推动人工智能与养老服务、政务服务深度融合，让技术发展成果更多更公平惠及全体人民。上述材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5B07911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①人大代表与政协委员依法履职尽责，共同推进养老服务高质量发展</w:t>
      </w:r>
    </w:p>
    <w:p w14:paraId="3F3E388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②我国实行全过程人民民主，代表委员积极建言献策，反映人民群众诉求</w:t>
      </w:r>
    </w:p>
    <w:p w14:paraId="7F392D5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③民主党派作为参政党，通过参政议政、政治协商为科学决策提供重要参考</w:t>
      </w:r>
    </w:p>
    <w:p w14:paraId="05927C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④全国人大作为最高国家权力机关，通过行使立法权完善人工智能养老法治保障</w:t>
      </w:r>
    </w:p>
    <w:p w14:paraId="38D17072">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7072D95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2026年全国两会从完善民营经济促进法配套法规政策，到持续破除市场准入壁垒，再到完善民营企业参与重大项目建设长效机制，向全社会释放了“毫不动摇鼓励、支持、引导非公有制经济发展”的强烈信号。这是因为非公有制经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9C16FD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①是社会主义市场经济的重要组成部分</w:t>
      </w:r>
    </w:p>
    <w:p w14:paraId="33FDC42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②是中国特色社会主义的重要物质基础</w:t>
      </w:r>
    </w:p>
    <w:p w14:paraId="2421EDC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③是推动经济社会发展的重要力量</w:t>
      </w:r>
      <w:r>
        <w:rPr>
          <w:rFonts w:ascii="Times New Roman" w:eastAsia="Times New Roman" w:hAnsi="Times New Roman" w:cs="Times New Roman" w:hint="default"/>
          <w:kern w:val="0"/>
          <w:sz w:val="24"/>
          <w:szCs w:val="24"/>
        </w:rPr>
        <w:t>    </w:t>
      </w:r>
    </w:p>
    <w:p w14:paraId="7D8AE61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④是社会主义经济制度的基础</w:t>
      </w:r>
    </w:p>
    <w:p w14:paraId="15B3E7E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4F9F7BF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2026年全国两会聚焦个人信息保护法治完善，某电商平台擅自收集、泄露用户购物偏好与位置信息，用于精准广告推送，被监管部门处罚并被用户提起民事诉讼。从民事法律关系构成要素与民法基本原则来看，下列分析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F7E2E5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①电商平台与受害用户是民事法律关系的主体</w:t>
      </w:r>
    </w:p>
    <w:p w14:paraId="005CED4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②被泄露的个人信息是民事法律关系的客体</w:t>
      </w:r>
    </w:p>
    <w:p w14:paraId="6F4D188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③该民事法律关系的内容是平台推送广告的行为</w:t>
      </w:r>
    </w:p>
    <w:p w14:paraId="3E3F546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④平台行为违背了诚信原则与守法和公序良俗原则</w:t>
      </w:r>
    </w:p>
    <w:p w14:paraId="07A03DEC">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A．①②③</w:t>
      </w:r>
      <w:r>
        <w:rPr>
          <w:rFonts w:ascii="Times New Roman" w:hAnsi="Times New Roman" w:cs="Times New Roman" w:hint="default"/>
          <w:sz w:val="21"/>
        </w:rPr>
        <w:tab/>
      </w:r>
      <w:r>
        <w:rPr>
          <w:rFonts w:ascii="Times New Roman" w:hAnsi="Times New Roman" w:cs="Times New Roman" w:hint="default"/>
          <w:sz w:val="21"/>
        </w:rPr>
        <w:t>B．①②④</w:t>
      </w:r>
      <w:r>
        <w:rPr>
          <w:rFonts w:ascii="Times New Roman" w:hAnsi="Times New Roman" w:cs="Times New Roman" w:hint="default"/>
          <w:sz w:val="21"/>
        </w:rPr>
        <w:tab/>
      </w:r>
      <w:r>
        <w:rPr>
          <w:rFonts w:ascii="Times New Roman" w:hAnsi="Times New Roman" w:cs="Times New Roman" w:hint="default"/>
          <w:sz w:val="21"/>
        </w:rPr>
        <w:t>C．①③④</w:t>
      </w:r>
      <w:r>
        <w:rPr>
          <w:rFonts w:ascii="Times New Roman" w:hAnsi="Times New Roman" w:cs="Times New Roman" w:hint="default"/>
          <w:sz w:val="21"/>
        </w:rPr>
        <w:tab/>
      </w:r>
      <w:r>
        <w:rPr>
          <w:rFonts w:ascii="Times New Roman" w:hAnsi="Times New Roman" w:cs="Times New Roman" w:hint="default"/>
          <w:sz w:val="21"/>
        </w:rPr>
        <w:t>D．②③④</w:t>
      </w:r>
    </w:p>
    <w:p w14:paraId="5806BED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在2026年两会召开前夕，人民网两会专线中汇集养老托育、就业增收、住房保障等系列问题。这些民声民意，政府工作报告作出精准回应：“实施中度以上失能老年人养老服务消费补贴项目”“加强初婚初育家庭住房保障，支持多子女家庭改善性住房需求”……两会的这些“清单”（</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8F672E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①说明全过程人民民主是最广泛、最真实、最管用的民主</w:t>
      </w:r>
    </w:p>
    <w:p w14:paraId="61663A5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②表明政治协商制度是我国社会主义民主政治的独特优势</w:t>
      </w:r>
    </w:p>
    <w:p w14:paraId="518A1A5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③保障了人民在国家政治生活和社会生活中的主体地位</w:t>
      </w:r>
    </w:p>
    <w:p w14:paraId="3E6E537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④推动选举民主与协商民主、形式民主与实质民主的统一</w:t>
      </w:r>
    </w:p>
    <w:p w14:paraId="313E7B5D">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7AA0B7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十五五”规划草案明确提出“积极应对人口老龄化”“建设生育友好型社会”，这一部署成为2026年全国两会焦点。围绕草案，代表委员就智慧助老、老幼共融等方面建言献策，草案经充分修改完善后，由全国人大正式表决通过。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DDC188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①公民有序参与政治生活，助力把民生期盼转化为国家决策</w:t>
      </w:r>
    </w:p>
    <w:p w14:paraId="7478517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②政协委员为国履职为民尽责，推动完善养老育幼服务体系</w:t>
      </w:r>
    </w:p>
    <w:p w14:paraId="7797331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③人大代表行使提案权，落实人民对“一老一小”的新期待</w:t>
      </w:r>
    </w:p>
    <w:p w14:paraId="1A82DCE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④全国人大行使最高决定权，擘画经济社会发展的美好蓝图</w:t>
      </w:r>
    </w:p>
    <w:p w14:paraId="67D839C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090642A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2026年两会期间，全国人大代表围绕乡村振兴、基础教育均衡、医疗保障提质等民生热点，走访调研基层群众，倾听民意，向大会提交多份建议；同时部分代表就医保基金监管问题对相关国家机关提出质询。下列说法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5389051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①人大代表履行密切联系群众的义务</w:t>
      </w:r>
      <w:r>
        <w:rPr>
          <w:rFonts w:ascii="Times New Roman" w:eastAsia="Times New Roman" w:hAnsi="Times New Roman" w:cs="Times New Roman" w:hint="default"/>
          <w:kern w:val="0"/>
          <w:sz w:val="24"/>
          <w:szCs w:val="24"/>
        </w:rPr>
        <w:t>                </w:t>
      </w:r>
    </w:p>
    <w:p w14:paraId="5495A71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②质询权、提案权是人大代表的职权</w:t>
      </w:r>
    </w:p>
    <w:p w14:paraId="55D9629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③人大代表统一行使国家最高权力</w:t>
      </w:r>
      <w:r>
        <w:rPr>
          <w:rFonts w:ascii="Times New Roman" w:eastAsia="Times New Roman" w:hAnsi="Times New Roman" w:cs="Times New Roman" w:hint="default"/>
          <w:kern w:val="0"/>
          <w:sz w:val="24"/>
          <w:szCs w:val="24"/>
        </w:rPr>
        <w:t>                    </w:t>
      </w:r>
    </w:p>
    <w:p w14:paraId="3BDA0D5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④人大代表有权决定国家重大事务</w:t>
      </w:r>
    </w:p>
    <w:p w14:paraId="7082963E">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7F31C4C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国家发展和改革委员会在2026年全国两会提出，要积极布局AI、量子、生物制造等未来产业，建立未来产业投入增长和风险分担机制，发挥国家创业投资引导基金行业标杆作用，从而形成发展新动能。下列对材料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59A3A5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①“积极布局未来产业”是“形成发展新动能”的充分条件</w:t>
      </w:r>
    </w:p>
    <w:p w14:paraId="287D4E3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②利用超前思维的前瞻性功能，有利于进行科学的顶层设计</w:t>
      </w:r>
    </w:p>
    <w:p w14:paraId="6B33E38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③以未来产业为属概念，“量子产业”和“生物制造业”是反对关系</w:t>
      </w:r>
    </w:p>
    <w:p w14:paraId="7AEB5AB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④符合认识规律、遵循逻辑规则的科学思维的结果具有可检验性</w:t>
      </w:r>
    </w:p>
    <w:p w14:paraId="49B70978">
      <w:pPr>
        <w:shd w:val="clear" w:color="auto" w:fill="auto"/>
        <w:tabs>
          <w:tab w:val="left" w:pos="2078"/>
          <w:tab w:val="left" w:pos="4156"/>
          <w:tab w:val="left" w:pos="6234"/>
        </w:tabs>
        <w:spacing w:line="360" w:lineRule="auto"/>
        <w:ind w:left="380"/>
        <w:jc w:val="left"/>
        <w:textAlignment w:val="center"/>
        <w:rPr>
          <w:rFonts w:ascii="Times New Roman" w:eastAsia="黑体" w:hAnsi="Times New Roman" w:cs="Times New Roman" w:hint="eastAsia"/>
          <w:b/>
          <w:i w:val="0"/>
          <w:color w:val="000000"/>
          <w:sz w:val="30"/>
          <w:lang w:eastAsia="zh-CN"/>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747BF288">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1C48395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46DF4ADD">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【建言献策汇民声】</w:t>
      </w:r>
    </w:p>
    <w:p w14:paraId="35AC85D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自2025年12月10日起至2026年全国两会，中国政府网联合多家网络平台开展了“@国务院我为政府工作报告提建议”网民建言征集活动，收到来自天南海北的网友建言共计31万余件。其中，网民关注的反“内卷”、平台劳动者权益保障、基层用药等意见建议，有些被《政府工作报告》采纳，有些转交相关部门或地方政府落实。</w:t>
      </w:r>
    </w:p>
    <w:p w14:paraId="5010F28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(1)此次网民建言征集活动彰显了社会主义民主政治的本质属性。结合材料，运用《政治与法治》知识对此观点加以说明。</w:t>
      </w:r>
    </w:p>
    <w:p w14:paraId="7DAFD69D">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【“投资于人”向未来】</w:t>
      </w:r>
    </w:p>
    <w:p w14:paraId="6CECA99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投资于人”是以人为对象的投资过程和行为。2026年，“投资于人”聚焦群众所想所愿，把资源更多投向民生领域，从保障基本生活转向守护人的全面发展，用政策红利托举养老、托育、就业、医疗的幸福底线，提升人的知识、技能、健康水平以及生活质量和社会适应性。</w:t>
      </w:r>
    </w:p>
    <w:p w14:paraId="015AF15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(2)结合材料，运用《政治与法治》知识，以“‘投资于人’绘就民生幸福新画卷”为主题写一篇短文。要求：观点明确，逻辑清晰；学科术语使用规范；150字左右。</w:t>
      </w:r>
    </w:p>
    <w:p w14:paraId="6E46740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1D5F9E5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全国两会期间，习近平总书记参加江苏代表团审议时强调，江苏等经济大省要在研究新情况、解决新问题上走在前列，在推动高质量发展中作出示范。两会期间，党广泛听取各民主党派、工商联、无党派人士和社会各界的意见建议，凝聚发展共识，明确发展方向，部署发展任务。各级党组织和广大党员干部积极响应党的号召，立足岗位、担当作为，把两会精神转化为推动高质量发展的实际行动，为实现中华民族伟大复兴的中国梦贡献力量。</w:t>
      </w:r>
    </w:p>
    <w:p w14:paraId="78BEDC4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结合材料，运用政治与法治相关知识，分析中国共产党为什么能够引领中国实现高质量发展、续写中国奇迹。</w:t>
      </w:r>
    </w:p>
    <w:p w14:paraId="6A67996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16DBFF0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是“十五五”规划开局之年，全国两会立足高质量发展核心目标，针对当前部分领域存在的低水平重复建设、同质化竞争、地方保护与市场分割等堵点问题，作出精准部署。政府工作报告明确提出，要强化公平竞争审查刚性约束，深入整治不良竞争，加强反垄断和反不正当竞争执法，破除地方保护和行政性垄断，规范市场秩序，引导企业良性竞争、创新发展，加快建设全国统一大市场，着力营造公平、活力、有序、高效的现代市场环境，为经济提质增效筑牢制度根基。</w:t>
      </w:r>
    </w:p>
    <w:p w14:paraId="0C6AB22C">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聚焦民生关切、践行人民至上，是本届两会的鲜明底色。为切实打通民意传递“最后一公里”，新华网在两会期间特别推出“两会民声直通车”建言征集活动，邀请广大群众围绕就业、教育、医疗、养老、乡村振兴等民生热点建言献策，群众的合理化意见经整理后直达两会会场，助力破解群众急难愁盼问题，这一接地气、连民心的举措，也成为全过程人民民主的生动实践缩影。</w:t>
      </w:r>
    </w:p>
    <w:p w14:paraId="1E6D31A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(1)结合材料，运用《经济与社会》相关知识，说明我国应如何营造更加公平、更具活力的市场经济环境。</w:t>
      </w:r>
    </w:p>
    <w:p w14:paraId="2154023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政治与法治》相关知识，以“民声直通两会：全过程人民民主的生动实践”为主题写一篇短文。要求：①围绕主题；②观点明确，论证充分，逻辑清晰；③学科术语使用规范；④字数250字左右。</w:t>
      </w:r>
    </w:p>
    <w:p w14:paraId="19341EC4">
      <w:pPr>
        <w:shd w:val="clear" w:color="auto" w:fill="F2F2F2"/>
        <w:spacing w:line="360" w:lineRule="auto"/>
        <w:jc w:val="left"/>
        <w:textAlignment w:val="center"/>
        <w:rPr>
          <w:rFonts w:ascii="Times New Roman" w:hAnsi="Times New Roman" w:eastAsiaTheme="minorEastAsia" w:cs="Times New Roman" w:hint="eastAsia"/>
          <w:color w:val="FF0000"/>
          <w:sz w:val="21"/>
          <w:lang w:eastAsia="zh-CN"/>
        </w:rPr>
      </w:pPr>
    </w:p>
    <w:tbl>
      <w:tblPr>
        <w:tblStyle w:val="TableNormal"/>
        <w:tblW w:w="4999"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1243"/>
        <w:gridCol w:w="8747"/>
      </w:tblGrid>
      <w:tr w14:paraId="2535AAA4">
        <w:tblPrEx>
          <w:tblW w:w="4999"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4D5CA7">
            <w:pPr>
              <w:shd w:val="clear" w:color="auto" w:fill="F2F2F2"/>
              <w:spacing w:line="360" w:lineRule="auto"/>
              <w:jc w:val="center"/>
              <w:textAlignment w:val="center"/>
              <w:rPr>
                <w:rFonts w:ascii="Times New Roman" w:hAnsi="Times New Roman" w:eastAsiaTheme="minorEastAsia" w:cs="Times New Roman" w:hint="eastAsia"/>
                <w:color w:val="FF0000"/>
                <w:sz w:val="21"/>
                <w:lang w:eastAsia="zh-CN"/>
              </w:rPr>
            </w:pP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1D4A1FD">
            <w:pPr>
              <w:shd w:val="clear" w:color="auto" w:fill="F2F2F2"/>
              <w:spacing w:line="360" w:lineRule="auto"/>
              <w:jc w:val="center"/>
              <w:textAlignment w:val="center"/>
              <w:rPr>
                <w:rFonts w:ascii="Times New Roman" w:hAnsi="Times New Roman" w:eastAsiaTheme="minorEastAsia" w:cs="Times New Roman" w:hint="eastAsia"/>
                <w:color w:val="FF0000"/>
                <w:sz w:val="21"/>
                <w:lang w:eastAsia="zh-CN"/>
              </w:rPr>
            </w:pPr>
          </w:p>
        </w:tc>
      </w:tr>
      <w:tr w14:paraId="67F1B7CD">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1BF15AC">
            <w:pPr>
              <w:shd w:val="clear" w:color="auto" w:fill="F2F2F2"/>
              <w:spacing w:line="360" w:lineRule="auto"/>
              <w:jc w:val="center"/>
              <w:textAlignment w:val="center"/>
              <w:rPr>
                <w:rFonts w:ascii="Times New Roman" w:hAnsi="Times New Roman" w:eastAsiaTheme="minorEastAsia" w:cs="Times New Roman" w:hint="eastAsia"/>
                <w:color w:val="FF0000"/>
                <w:sz w:val="21"/>
                <w:lang w:eastAsia="zh-CN"/>
              </w:rPr>
            </w:pP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2CFF0D6B">
            <w:pPr>
              <w:shd w:val="clear" w:color="auto" w:fill="auto"/>
              <w:spacing w:line="360" w:lineRule="auto"/>
              <w:jc w:val="left"/>
              <w:textAlignment w:val="center"/>
              <w:rPr>
                <w:rFonts w:ascii="Times New Roman" w:hAnsi="Times New Roman" w:eastAsiaTheme="minorEastAsia" w:cs="Times New Roman" w:hint="eastAsia"/>
                <w:color w:val="FF0000"/>
                <w:sz w:val="21"/>
                <w:lang w:eastAsia="zh-CN"/>
              </w:rPr>
            </w:pPr>
          </w:p>
        </w:tc>
      </w:tr>
      <w:tr w14:paraId="51929F54">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407847E4">
            <w:pPr>
              <w:shd w:val="clear" w:color="auto" w:fill="F2F2F2"/>
              <w:spacing w:line="360" w:lineRule="auto"/>
              <w:jc w:val="center"/>
              <w:textAlignment w:val="center"/>
              <w:rPr>
                <w:rFonts w:ascii="Times New Roman" w:hAnsi="Times New Roman" w:eastAsiaTheme="minorEastAsia" w:cs="Times New Roman" w:hint="eastAsia"/>
                <w:color w:val="FF0000"/>
                <w:sz w:val="21"/>
                <w:lang w:eastAsia="zh-CN"/>
              </w:rPr>
            </w:pP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64F05839">
            <w:pPr>
              <w:shd w:val="clear" w:color="auto" w:fill="auto"/>
              <w:spacing w:line="360" w:lineRule="auto"/>
              <w:jc w:val="left"/>
              <w:textAlignment w:val="center"/>
              <w:rPr>
                <w:rFonts w:ascii="Times New Roman" w:hAnsi="Times New Roman" w:eastAsiaTheme="minorEastAsia" w:cs="Times New Roman" w:hint="eastAsia"/>
                <w:color w:val="FF0000"/>
                <w:sz w:val="21"/>
                <w:lang w:eastAsia="zh-CN"/>
              </w:rPr>
            </w:pPr>
          </w:p>
        </w:tc>
      </w:tr>
      <w:tr w14:paraId="2351A645">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AB7304E">
            <w:pPr>
              <w:shd w:val="clear" w:color="auto" w:fill="F2F2F2"/>
              <w:spacing w:line="360" w:lineRule="auto"/>
              <w:jc w:val="center"/>
              <w:textAlignment w:val="center"/>
              <w:rPr>
                <w:rFonts w:ascii="Times New Roman" w:hAnsi="Times New Roman" w:eastAsiaTheme="minorEastAsia" w:cs="Times New Roman" w:hint="eastAsia"/>
                <w:color w:val="FF0000"/>
                <w:sz w:val="21"/>
                <w:lang w:eastAsia="zh-CN"/>
              </w:rPr>
            </w:pP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35F4E761">
            <w:pPr>
              <w:shd w:val="clear" w:color="auto" w:fill="auto"/>
              <w:spacing w:line="360" w:lineRule="auto"/>
              <w:jc w:val="left"/>
              <w:textAlignment w:val="center"/>
              <w:rPr>
                <w:rFonts w:ascii="Times New Roman" w:hAnsi="Times New Roman" w:eastAsiaTheme="minorEastAsia" w:cs="Times New Roman" w:hint="eastAsia"/>
                <w:color w:val="FF0000"/>
                <w:sz w:val="21"/>
                <w:lang w:eastAsia="zh-CN"/>
              </w:rPr>
            </w:pPr>
          </w:p>
        </w:tc>
      </w:tr>
      <w:tr w14:paraId="05C2D1BC">
        <w:tblPrEx>
          <w:tblW w:w="4999" w:type="pct"/>
          <w:tblInd w:w="0" w:type="dxa"/>
          <w:tblCellMar>
            <w:top w:w="120" w:type="dxa"/>
            <w:left w:w="120" w:type="dxa"/>
            <w:bottom w:w="120" w:type="dxa"/>
            <w:right w:w="120" w:type="dxa"/>
          </w:tblCellMar>
        </w:tblPrEx>
        <w:tc>
          <w:tcPr>
            <w:tcW w:w="622"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034060C8">
            <w:pPr>
              <w:shd w:val="clear" w:color="auto" w:fill="F2F2F2"/>
              <w:spacing w:line="360" w:lineRule="auto"/>
              <w:jc w:val="center"/>
              <w:textAlignment w:val="center"/>
              <w:rPr>
                <w:rFonts w:ascii="Times New Roman" w:hAnsi="Times New Roman" w:eastAsiaTheme="minorEastAsia" w:cs="Times New Roman" w:hint="eastAsia"/>
                <w:color w:val="FF0000"/>
                <w:sz w:val="21"/>
                <w:lang w:eastAsia="zh-CN"/>
              </w:rPr>
            </w:pPr>
          </w:p>
        </w:tc>
        <w:tc>
          <w:tcPr>
            <w:tcW w:w="4377" w:type="pct"/>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AA2E5EF">
            <w:pPr>
              <w:shd w:val="clear" w:color="auto" w:fill="auto"/>
              <w:spacing w:line="360" w:lineRule="auto"/>
              <w:jc w:val="left"/>
              <w:textAlignment w:val="center"/>
              <w:rPr>
                <w:rFonts w:ascii="Times New Roman" w:hAnsi="Times New Roman" w:eastAsiaTheme="minorEastAsia" w:cs="Times New Roman" w:hint="eastAsia"/>
                <w:color w:val="FF0000"/>
                <w:sz w:val="21"/>
                <w:lang w:eastAsia="zh-CN"/>
              </w:rPr>
            </w:pPr>
          </w:p>
        </w:tc>
      </w:tr>
    </w:tbl>
    <w:p w14:paraId="0ACF4719">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ascii="宋体" w:eastAsia="宋体" w:hAnsi="宋体" w:cs="宋体"/>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108" name="图片 108"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4</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心有山海，静而不争，全力以赴，顶峰相见。—— 汪曾祺</w:t>
      </w:r>
    </w:p>
    <w:p w14:paraId="4D13BEA1">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default"/>
          <w:b/>
          <w:bCs/>
          <w:sz w:val="32"/>
          <w:szCs w:val="32"/>
          <w:lang w:val="en-US" w:eastAsia="zh-CN"/>
        </w:rPr>
      </w:pPr>
      <w:r>
        <w:rPr>
          <w:rFonts w:ascii="微软雅黑" w:eastAsia="微软雅黑" w:hAnsi="微软雅黑" w:cs="微软雅黑" w:hint="eastAsia"/>
          <w:b/>
          <w:bCs/>
          <w:sz w:val="32"/>
          <w:szCs w:val="32"/>
          <w:lang w:val="en-US" w:eastAsia="zh-CN"/>
        </w:rPr>
        <w:t>时政热点02：打造智能经济新形态 加速发展新质生产力</w:t>
      </w:r>
    </w:p>
    <w:p w14:paraId="4A425CF0">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41" name="组合 141"/>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42"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3"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4"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45" style="width:16pt;height:22.05pt" coordorigin="6081,38224" coordsize="389,536">
                <o:lock v:ext="edit" aspectratio="f"/>
                <v:roundrect id="圆角矩形 13" o:spid="_x0000_s1046" style="width:113;height:340;flip:x;left:6358;position:absolute;rotation:13;top:38413;v-text-anchor:middle" arcsize="10923f" coordsize="21600,21600" filled="t" fillcolor="#2e54a1" stroked="f">
                  <v:stroke joinstyle="miter"/>
                  <o:lock v:ext="edit" aspectratio="f"/>
                </v:roundrect>
                <v:roundrect id="矩形 16" o:spid="_x0000_s1047" style="width:113;height:412;flip:x;left:6225;position:absolute;rotation:8;top:38343;v-text-anchor:middle" arcsize="10923f" coordsize="21600,21600" filled="t" fillcolor="#c81d31" stroked="f">
                  <v:stroke joinstyle="miter"/>
                  <o:lock v:ext="edit" aspectratio="f"/>
                </v:roundrect>
                <v:roundrect id="圆角矩形 14" o:spid="_x0000_s104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5D43911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1BF1B4D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作为“十五五”规划开局关键之年，打造智能经济新形态、加速发展新质生产力成为推动高质量发展的核心抓手，更是全国两会部署的重点任务。当前，人工智能、大数据、物联网、6G等新一代信息技术加速迭代，与实体经济深度融合，智能经济已成为培育新质生产力、破解发展不平衡不充分问题的重要路径。我国在智能经济领域布局持续深化，从具身智能研发到工业互联网普及，从数字基础设施完善到智能产业集群培育，逐步形成“技术创新引领、产业协同发力、政策精准支撑”的发展格局，为新质生产力发展注入强劲动能，成为2026年高考政治的高频命题情境。</w:t>
      </w:r>
    </w:p>
    <w:p w14:paraId="6A4F0D1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我国出台多项政策推动智能经济与新质生产力深度融合，明确提出“加快智能技术研发应用，培育壮大智能产业，推动传统产业数智化转型，强化新质生产力科技支撑”的目标。各地积极响应，长三角、珠三角等地打造智能经济产业园区，推动量子科技、人工智能等关键核心技术攻关；企业作为创新主体，加大研发投入，推动智能产品迭代升级，形成“技术突破—产业落地—效益提升”的良性循环。同时，智能经济的发展也带动就业结构优化、民生服务升级，从智能养老到智慧政务，从智能生产到智慧消费，全方位改变生产生活方式，彰显新发展理念的实践成效。</w:t>
      </w:r>
    </w:p>
    <w:p w14:paraId="091E6353">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全球科技竞争日趋激烈，发达国家纷纷加大智能经济布局，抢占新质生产力发展制高点。我国智能经济发展既面临核心技术“卡脖子”、人才短缺等挑战，也拥有超大规模市场、完整产业体系、政策强力支撑等优势。立足中国式现代化全局，打造智能经济新形态、加速发展新质生产力，既是应对全球竞争的战略选择，也是推动经济质的有效提升和量的合理增长的必然要求，更是实现共同富裕、推进民族复兴的重要支撑。其相关政策部署、实践成效及面临的挑战，均契合高考政治“立足实践、聚焦热点、考查能力”的命题导向，需重点关注。</w:t>
      </w:r>
    </w:p>
    <w:p w14:paraId="4ECFA02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7F960DA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考向一：政治与法治——智能经济发展中的政治保障与治理效能</w:t>
      </w:r>
    </w:p>
    <w:p w14:paraId="2539449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：结合我国推动智能经济发展的政策部署、政府履职举措、法治保障等情境，考查党的领导、政府职能、依法行政、全过程人民民主、法治建设等知识，分析智能经济发展背后的政治逻辑与治理效能。</w:t>
      </w:r>
    </w:p>
    <w:p w14:paraId="4BF5E46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统筹规划、政策引领）；政府的经济建设、文化建设、社会建设职能（推动智能技术研发、完善基础设施、优化营商环境）；依法行政与法治政府建设（完善智能经济相关法律法规、规范市场秩序）；全过程人民民主（代表委员围绕智能经济建言献策）；政府治理体系和治理能力现代化（智能技术赋能政务服务、提升治理效能）。</w:t>
      </w:r>
    </w:p>
    <w:p w14:paraId="65F9A1D4">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考向二：经济与社会——智能经济与新质生产力的经济实践</w:t>
      </w:r>
    </w:p>
    <w:p w14:paraId="3242931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：结合智能经济发展举措、新质生产力培育实践，考查新发展理念、现代化经济体系、社会主义市场经济体制、科技创新、产业升级、共同富裕等知识，分析智能经济对培育新质生产力、推动高质量发展的作用。</w:t>
      </w:r>
    </w:p>
    <w:p w14:paraId="2180C8C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创新发展理念（智能技术创新是新质生产力的核心支撑）；新质生产力的内涵与培育路径（智能经济是重要载体）；现代化经济体系（智能产业与实体经济融合，推动产业体系升级）；市场配置资源与政府宏观调控（激发企业创新活力、出台扶持政策）；产业结构优化升级（传统产业数智化、新兴智能产业壮大）；就业与共同富裕（智能经济带动就业增收、优化民生服务）。</w:t>
      </w:r>
    </w:p>
    <w:p w14:paraId="38B0E11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考向三：中国特色社会主义——智能经济与中国式现代化的推进</w:t>
      </w:r>
    </w:p>
    <w:p w14:paraId="4274C22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：立足智能经济发展与新质生产力培育的时代背景，考查中国式现代化的特征、中国特色社会主义制度的优越性、民族复兴的路径等知识，阐释打造智能经济新形态对推进中国式现代化的重要意义。</w:t>
      </w:r>
    </w:p>
    <w:p w14:paraId="035B5F8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智能经济契合“高质量发展、人与自然和谐共生、全体人民共同富裕”要求）；新质生产力与中国式现代化的关系（新质生产力是中国式现代化的重要支撑）；中国特色社会主义制度的显著优势（集中力量办大事、以人民为中心，为智能经济发展提供保障）；以中国式现代化推进中华民族伟大复兴（智能经济破解发展难题、增强发展动力）；新时代社会主要矛盾的解决（智能经济提升民生福祉、促进发展平衡）。</w:t>
      </w:r>
    </w:p>
    <w:p w14:paraId="3D58D10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考向四：哲学与文化——智能经济发展的哲学思维与文化支撑</w:t>
      </w:r>
    </w:p>
    <w:p w14:paraId="7C77A29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智能经济与新质生产力发展的科学方法，结合智能技术创新、创新精神培育等情境，考查文化自信、社会主义核心价值观、文化与经济的关系等知识，说明文化对智能经济发展的支撑作用。</w:t>
      </w:r>
    </w:p>
    <w:p w14:paraId="2F99DEE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矛盾普遍性与特殊性、两点论与重点论，分析智能经济与新质生产力、传统产业与新兴产业的关系）；历史唯物主义（社会存在与社会意识的辩证关系、价值观的导向作用、人民群众是历史的创造者，解读智能经济发展的动力与价值导向）；文化与经济相互影响、相互交融（智能技术研发需要文化支撑，智能经济推动文化产业升级）；社会主义核心价值观（创新精神、奋斗精神培育，为智能经济发展提供精神动力）；文化自信（我国智能技术创新成果彰显文化自信）。</w:t>
      </w:r>
    </w:p>
    <w:p w14:paraId="6C12CEA4">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2ADF643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聚焦核心关联</w:t>
      </w:r>
      <w:r>
        <w:rPr>
          <w:rFonts w:ascii="宋体" w:eastAsia="宋体" w:hAnsi="宋体" w:cs="宋体" w:hint="eastAsia"/>
          <w:b/>
          <w:bCs/>
          <w:sz w:val="21"/>
          <w:szCs w:val="21"/>
          <w:lang w:eastAsia="zh-CN"/>
        </w:rPr>
        <w:t>：</w:t>
      </w:r>
      <w:r>
        <w:rPr>
          <w:rFonts w:ascii="宋体" w:eastAsia="宋体" w:hAnsi="宋体" w:cs="宋体" w:hint="eastAsia"/>
          <w:sz w:val="21"/>
          <w:szCs w:val="21"/>
        </w:rPr>
        <w:t>吃透“智能经济—新质生产力—高质量发展”内在逻辑，掌握关键时政术语。</w:t>
      </w:r>
    </w:p>
    <w:p w14:paraId="019A3EE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eastAsia="zh-CN"/>
        </w:rPr>
        <w:t>：</w:t>
      </w:r>
      <w:r>
        <w:rPr>
          <w:rFonts w:ascii="宋体" w:eastAsia="宋体" w:hAnsi="宋体" w:cs="宋体" w:hint="eastAsia"/>
          <w:sz w:val="21"/>
          <w:szCs w:val="21"/>
        </w:rPr>
        <w:t>构建“技术创新—政策保障—实践成效—哲学支撑”的关联体系，强化跨模块衔接。</w:t>
      </w:r>
    </w:p>
    <w:p w14:paraId="65C3AC7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eastAsia="zh-CN"/>
        </w:rPr>
        <w:t>：</w:t>
      </w:r>
      <w:r>
        <w:rPr>
          <w:rFonts w:ascii="宋体" w:eastAsia="宋体" w:hAnsi="宋体" w:cs="宋体" w:hint="eastAsia"/>
          <w:sz w:val="21"/>
          <w:szCs w:val="21"/>
        </w:rPr>
        <w:t>重点突破措施类、意义类主观题，提升材料解读与原理结合的精准度。</w:t>
      </w:r>
    </w:p>
    <w:p w14:paraId="330F628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关注实践热点</w:t>
      </w:r>
      <w:r>
        <w:rPr>
          <w:rFonts w:ascii="宋体" w:eastAsia="宋体" w:hAnsi="宋体" w:cs="宋体" w:hint="eastAsia"/>
          <w:b/>
          <w:bCs/>
          <w:sz w:val="21"/>
          <w:szCs w:val="21"/>
          <w:lang w:eastAsia="zh-CN"/>
        </w:rPr>
        <w:t>：</w:t>
      </w:r>
      <w:r>
        <w:rPr>
          <w:rFonts w:ascii="宋体" w:eastAsia="宋体" w:hAnsi="宋体" w:cs="宋体" w:hint="eastAsia"/>
          <w:sz w:val="21"/>
          <w:szCs w:val="21"/>
        </w:rPr>
        <w:t>对接各地智能经济试点、企业创新案例，增强备考针对性。</w:t>
      </w:r>
    </w:p>
    <w:p w14:paraId="25C26EF9">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145" name="组合 145"/>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46"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7"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48"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49" style="width:16pt;height:22.05pt" coordorigin="6081,38224" coordsize="389,536">
                <o:lock v:ext="edit" aspectratio="f"/>
                <v:roundrect id="圆角矩形 13" o:spid="_x0000_s1050" style="width:113;height:340;flip:x;left:6358;position:absolute;rotation:13;top:38413;v-text-anchor:middle" arcsize="10923f" coordsize="21600,21600" filled="t" fillcolor="#7ddfd7" stroked="f">
                  <v:stroke joinstyle="miter"/>
                  <o:lock v:ext="edit" aspectratio="f"/>
                </v:roundrect>
                <v:roundrect id="矩形 16" o:spid="_x0000_s1051" style="width:113;height:412;flip:x;left:6225;position:absolute;rotation:8;top:38343;v-text-anchor:middle" arcsize="10923f" coordsize="21600,21600" filled="t" fillcolor="#c81d31" stroked="f">
                  <v:stroke joinstyle="miter"/>
                  <o:lock v:ext="edit" aspectratio="f"/>
                </v:roundrect>
                <v:roundrect id="圆角矩形 14" o:spid="_x0000_s105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5F00CA0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7" w:name="heading_21"/>
      <w:r>
        <w:rPr>
          <w:rFonts w:ascii="宋体" w:eastAsia="宋体" w:hAnsi="宋体" w:cs="宋体" w:hint="eastAsia"/>
          <w:b/>
          <w:color w:val="0070C0"/>
          <w:sz w:val="21"/>
          <w:szCs w:val="21"/>
        </w:rPr>
        <w:t>考向一：政治与法治</w:t>
      </w:r>
      <w:bookmarkEnd w:id="7"/>
    </w:p>
    <w:p w14:paraId="4E1E441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8" w:name="heading_22"/>
      <w:r>
        <w:rPr>
          <w:rFonts w:ascii="宋体" w:eastAsia="宋体" w:hAnsi="宋体" w:cs="宋体" w:hint="eastAsia"/>
          <w:b/>
          <w:sz w:val="21"/>
          <w:szCs w:val="21"/>
        </w:rPr>
        <w:t>设问1：结合材料，运用相关知识，说明中国共产党在打造智能经济新形态、加速发展新质生产力中的领导作用。</w:t>
      </w:r>
      <w:bookmarkEnd w:id="8"/>
    </w:p>
    <w:p w14:paraId="7D3314B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75514F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①发挥党总揽全局、协调各方的领导核心作用，为智能经济和新质生产力发展作出顶层设计，明确发展目标和任务，确保发展方向正确。</w:t>
      </w:r>
    </w:p>
    <w:p w14:paraId="2B7A19E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②坚持科学执政、民主执政、依法执政，立足我国智能经济发展实际，制定科学合理的政策部署，凝聚全国各族人民共识，推动各项举措落地见效。</w:t>
      </w:r>
    </w:p>
    <w:p w14:paraId="6197612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③加强党的建设，发挥党员先锋模范作用，引领科研工作者、企业投身智能技术创新，为智能经济和新质生产力发展提供组织保障和精神动力。</w:t>
      </w:r>
    </w:p>
    <w:p w14:paraId="18C6FEA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9" w:name="heading_23"/>
      <w:r>
        <w:rPr>
          <w:rFonts w:ascii="宋体" w:eastAsia="宋体" w:hAnsi="宋体" w:cs="宋体" w:hint="eastAsia"/>
          <w:b/>
          <w:sz w:val="21"/>
          <w:szCs w:val="21"/>
        </w:rPr>
        <w:t>设问2：运用相关知识，分析我国政府在推动智能经济发展中如何提升治理效能。</w:t>
      </w:r>
      <w:bookmarkEnd w:id="9"/>
    </w:p>
    <w:p w14:paraId="6C5B50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04AB35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①履行经济建设、文化建设、社会建设职能，加大智能技术研发投入，完善数字基础设施，推动传统产业转型，优化民生智能服务。</w:t>
      </w:r>
    </w:p>
    <w:p w14:paraId="5D1C9C0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②坚持依法行政，完善智能经济相关法律法规，规范市场秩序和智能技术应用，提升政府决策的科学性、民主性。</w:t>
      </w:r>
    </w:p>
    <w:p w14:paraId="6E0E2F2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③推动智能技术与政务服务融合，优化政务流程，提高行政效率，自觉接受人大监督、社会监督，规范行政行为，提升政府公信力。</w:t>
      </w:r>
    </w:p>
    <w:p w14:paraId="20176F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10" w:name="heading_24"/>
      <w:r>
        <w:rPr>
          <w:rFonts w:ascii="宋体" w:eastAsia="宋体" w:hAnsi="宋体" w:cs="宋体" w:hint="eastAsia"/>
          <w:b/>
          <w:color w:val="0070C0"/>
          <w:sz w:val="21"/>
          <w:szCs w:val="21"/>
        </w:rPr>
        <w:t>考向二：经济与社会</w:t>
      </w:r>
      <w:bookmarkEnd w:id="10"/>
    </w:p>
    <w:p w14:paraId="1C8A9C1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1" w:name="heading_25"/>
      <w:r>
        <w:rPr>
          <w:rFonts w:ascii="宋体" w:eastAsia="宋体" w:hAnsi="宋体" w:cs="宋体" w:hint="eastAsia"/>
          <w:b/>
          <w:sz w:val="21"/>
          <w:szCs w:val="21"/>
        </w:rPr>
        <w:t>设问1：结合材料，运用相关知识，说明我国应如何通过发展智能经济培育新质生产力。</w:t>
      </w:r>
      <w:bookmarkEnd w:id="11"/>
    </w:p>
    <w:p w14:paraId="7508A36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F7F0C6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①坚持创新驱动发展战略，加大智能领域基础研究和核心技术攻关投入，强化企业创新主体地位，推动智能技术突破，筑牢新质生产力的科技支撑。</w:t>
      </w:r>
    </w:p>
    <w:p w14:paraId="2BD57AE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②推动智能经济与实体经济深度融合，推动传统产业数智化、绿色化转型，培育壮大新兴智能产业，完善智能产业体系，推动新质生产力落地。</w:t>
      </w:r>
    </w:p>
    <w:p w14:paraId="06E59A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③完善数字基础设施建设，优化营商环境，激发各类市场主体创新活力，推动创新链、产业链、资金链、人才链深度融合，为新质生产力发展提供保障。</w:t>
      </w:r>
    </w:p>
    <w:p w14:paraId="1BB1028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④加强人才培养，完善教育、科技、人才一体化发展体系，培育创新型人才，为新质生产力发展提供人才支撑。</w:t>
      </w:r>
    </w:p>
    <w:p w14:paraId="07F001D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2" w:name="heading_26"/>
      <w:r>
        <w:rPr>
          <w:rFonts w:ascii="宋体" w:eastAsia="宋体" w:hAnsi="宋体" w:cs="宋体" w:hint="eastAsia"/>
          <w:b/>
          <w:sz w:val="21"/>
          <w:szCs w:val="21"/>
        </w:rPr>
        <w:t>设问2：运用相关知识，分析智能经济发展对实现共同富裕的重要作用。</w:t>
      </w:r>
      <w:bookmarkEnd w:id="12"/>
    </w:p>
    <w:p w14:paraId="4D34C73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57F23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①智能经济带动产业升级，创造更多高质量就业岗位，拓宽居民增收渠道，推动居民收入与经济增长同步，夯实共同富裕的物质基础。</w:t>
      </w:r>
    </w:p>
    <w:p w14:paraId="1BBE7D6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②推动智能技术向农村、欠发达地区延伸，缩小城乡、区域智能发展差距，促进公共服务均等化，让发展成果更多更公平惠及全体人民。</w:t>
      </w:r>
    </w:p>
    <w:p w14:paraId="3A919B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③优化资源配置效率，推动产业协同发展，带动低收入群体增收，缩小收入差距，兼顾效率与公平，推动共同富裕目标实现。</w:t>
      </w:r>
    </w:p>
    <w:p w14:paraId="593A1A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13" w:name="heading_27"/>
      <w:r>
        <w:rPr>
          <w:rFonts w:ascii="宋体" w:eastAsia="宋体" w:hAnsi="宋体" w:cs="宋体" w:hint="eastAsia"/>
          <w:b/>
          <w:color w:val="0070C0"/>
          <w:sz w:val="21"/>
          <w:szCs w:val="21"/>
        </w:rPr>
        <w:t>考向三：中国特色社会主义</w:t>
      </w:r>
      <w:bookmarkEnd w:id="13"/>
    </w:p>
    <w:p w14:paraId="36C2ACD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4" w:name="heading_28"/>
      <w:r>
        <w:rPr>
          <w:rFonts w:ascii="宋体" w:eastAsia="宋体" w:hAnsi="宋体" w:cs="宋体" w:hint="eastAsia"/>
          <w:b/>
          <w:sz w:val="21"/>
          <w:szCs w:val="21"/>
        </w:rPr>
        <w:t>设问1：结合材料，运用相关知识，说明打造智能经济新形态、加速发展新质生产力如何彰显中国特色社会主义制度的显著优势。</w:t>
      </w:r>
      <w:bookmarkEnd w:id="14"/>
    </w:p>
    <w:p w14:paraId="250C19F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574D84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①彰显党的领导的显著优势，党总揽全局、协调各方，为智能经济和新质生产力发展提供顶层设计和方向指引，体现党的领导是中国特色社会主义最本质的特征。</w:t>
      </w:r>
    </w:p>
    <w:p w14:paraId="02A121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②彰显集中力量办大事的制度优势，我国集中资源推动智能技术核心攻关、完善数字基础设施，破解发展难题，展现社会主义制度的强大动员能力。</w:t>
      </w:r>
    </w:p>
    <w:p w14:paraId="3CC03D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③彰显以人民为中心的制度优势，智能经济发展聚焦民生福祉，推动智能技术惠及民生，缩小发展差距，体现中国特色社会主义制度的价值追求。</w:t>
      </w:r>
    </w:p>
    <w:p w14:paraId="25166ED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④彰显改革创新的制度优势，通过深化科技体制改革、优化营商环境，激发市场主体创新活力，推动智能经济和新质生产力持续发展。</w:t>
      </w:r>
    </w:p>
    <w:p w14:paraId="0AEB989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5" w:name="heading_29"/>
      <w:r>
        <w:rPr>
          <w:rFonts w:ascii="宋体" w:eastAsia="宋体" w:hAnsi="宋体" w:cs="宋体" w:hint="eastAsia"/>
          <w:b/>
          <w:sz w:val="21"/>
          <w:szCs w:val="21"/>
        </w:rPr>
        <w:t>设问2：运用相关知识，说明发展智能经济、培育新质生产力与推进中国式现代化的内在联系。</w:t>
      </w:r>
      <w:bookmarkEnd w:id="15"/>
    </w:p>
    <w:p w14:paraId="6804612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06778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①发展智能经济、培育新质生产力，是推进中国式现代化的重要支撑，能够破解高质量发展中的难题，推动经济质的有效提升和量的合理增长，契合中国式现代化的首要要求。</w:t>
      </w:r>
    </w:p>
    <w:p w14:paraId="4649B0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②中国式现代化为智能经济、新质生产力发展提供方向指引和制度保障，中国式现代化“全体人民共同富裕、人与自然和谐共生”的特征，推动智能经济朝着惠民、绿色方向发展。</w:t>
      </w:r>
    </w:p>
    <w:p w14:paraId="45C23A5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③二者相互促进、有机统一，发展智能经济、培育新质生产力能够推动中国式现代化向纵深发展，而中国式现代化的推进又能为智能经济、新质生产力发展创造更好的环境和条件，助力实现民族复兴。</w:t>
      </w:r>
    </w:p>
    <w:p w14:paraId="7379620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bookmarkStart w:id="16" w:name="heading_30"/>
      <w:r>
        <w:rPr>
          <w:rFonts w:ascii="宋体" w:eastAsia="宋体" w:hAnsi="宋体" w:cs="宋体" w:hint="eastAsia"/>
          <w:b/>
          <w:color w:val="0070C0"/>
          <w:sz w:val="21"/>
          <w:szCs w:val="21"/>
        </w:rPr>
        <w:t>考向四：哲学与文化</w:t>
      </w:r>
      <w:bookmarkEnd w:id="16"/>
    </w:p>
    <w:p w14:paraId="067C0C7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7" w:name="heading_31"/>
      <w:r>
        <w:rPr>
          <w:rFonts w:ascii="宋体" w:eastAsia="宋体" w:hAnsi="宋体" w:cs="宋体" w:hint="eastAsia"/>
          <w:b/>
          <w:sz w:val="21"/>
          <w:szCs w:val="21"/>
        </w:rPr>
        <w:t>设问1：运用唯物辩证法知识，分析我国打造智能经济新形态、培育新质生产力的科学思路。</w:t>
      </w:r>
      <w:bookmarkEnd w:id="17"/>
    </w:p>
    <w:p w14:paraId="4BBEBFD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10131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①坚持整体与部分的辩证统一，立足智能经济发展全局，统筹技术研发、产业发展、民生应用等各个部分，实现全局与局部的有机统一，推动协同发力。</w:t>
      </w:r>
    </w:p>
    <w:p w14:paraId="6D59ACC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②坚持系统优化方法，围绕培育新质生产力这一目标，统筹科技创新、产业升级、人才培养等多个方面，注重各要素协同作用，形成发展合力。</w:t>
      </w:r>
    </w:p>
    <w:p w14:paraId="02A5DFC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③坚持两点论与重点论的统一，既要统筹智能经济发展的各个方面，又要聚焦核心技术攻关、产业升级等关键任务，实现重点突破、整体推进。</w:t>
      </w:r>
    </w:p>
    <w:p w14:paraId="29CC193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④坚持矛盾普遍性与特殊性的辩证统一，总结各地智能经济发展试点经验，提炼普遍规律，再推广到全国，实现顶层设计与基层探索的有机结合。</w:t>
      </w:r>
    </w:p>
    <w:p w14:paraId="0CEFDFF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bookmarkStart w:id="18" w:name="heading_32"/>
      <w:r>
        <w:rPr>
          <w:rFonts w:ascii="宋体" w:eastAsia="宋体" w:hAnsi="宋体" w:cs="宋体" w:hint="eastAsia"/>
          <w:b/>
          <w:sz w:val="21"/>
          <w:szCs w:val="21"/>
        </w:rPr>
        <w:t>设问2：运用相关知识，说明如何通过文化创新为智能经济发展、新质生产力培育提供支撑。</w:t>
      </w:r>
      <w:bookmarkEnd w:id="18"/>
    </w:p>
    <w:p w14:paraId="150C204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C345A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①立足智能经济发展实践，培育创新文化、奋斗文化，推动文化与智能技术深度融合，为智能经济发展注入精神动力。</w:t>
      </w:r>
    </w:p>
    <w:p w14:paraId="65E060F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②传承中华优秀传统文化中的创新理念、团结精神，结合新时代智能经济发展需求，推动传统文化创造性转化、创新性发展，增强文化自信。</w:t>
      </w:r>
    </w:p>
    <w:p w14:paraId="65218E6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③加强国际科技文化交流合作，吸收借鉴国际先进创新经验，推动文化创新，提升我国智能文化的国际影响力，为技术创新提供支撑。</w:t>
      </w:r>
    </w:p>
    <w:p w14:paraId="34057B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④加强科普宣传，提升全民科学文化素养，培育创新意识，为智能经济发展和新质生产力培育提供人才支撑和文化环境。</w:t>
      </w:r>
    </w:p>
    <w:p w14:paraId="44CDEDD6">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49" name="组合 149"/>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50"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51"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52"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53" style="width:16pt;height:22.05pt" coordorigin="6081,38224" coordsize="389,536">
                <o:lock v:ext="edit" aspectratio="f"/>
                <v:roundrect id="圆角矩形 13" o:spid="_x0000_s1054" style="width:113;height:340;flip:x;left:6358;position:absolute;rotation:13;top:38413;v-text-anchor:middle" arcsize="10923f" coordsize="21600,21600" filled="t" fillcolor="#2e54a1" stroked="f">
                  <v:stroke joinstyle="miter"/>
                  <o:lock v:ext="edit" aspectratio="f"/>
                </v:roundrect>
                <v:roundrect id="矩形 16" o:spid="_x0000_s1055" style="width:113;height:412;flip:x;left:6225;position:absolute;rotation:8;top:38343;v-text-anchor:middle" arcsize="10923f" coordsize="21600,21600" filled="t" fillcolor="#c81d31" stroked="f">
                  <v:stroke joinstyle="miter"/>
                  <o:lock v:ext="edit" aspectratio="f"/>
                </v:roundrect>
                <v:roundrect id="圆角矩形 14" o:spid="_x0000_s105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79CB15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考向一：政治与法治——智能经济发展中的政治保障与治理效能</w:t>
      </w:r>
    </w:p>
    <w:p w14:paraId="55C17B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政府出台《智能经济发展促进条例》，明确智能技术研发、产业发展、安全保障等重点任务，加大对智能经济领域的政策扶持和监管力度；同时，全国政协委员围绕“破解智能经济核心技术卡脖子问题”“规范智能产业市场秩序”等议题积极建言献策。这体现了我国（ ）</w:t>
      </w:r>
    </w:p>
    <w:p w14:paraId="4429DCA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①政府积极履行经济建设、文化建设职能，推动智能经济发展</w:t>
      </w:r>
    </w:p>
    <w:p w14:paraId="27E34B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②人民政协履行民主监督职能，助力智能经济规范发展</w:t>
      </w:r>
    </w:p>
    <w:p w14:paraId="14BE643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③依法行政是政府推动智能经济发展的根本保证</w:t>
      </w:r>
    </w:p>
    <w:p w14:paraId="6AE6EE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④全过程人民民主为智能经济发展提供智力支持</w:t>
      </w:r>
    </w:p>
    <w:p w14:paraId="4B01961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①④ C. ②③ D. ③④</w:t>
      </w:r>
    </w:p>
    <w:p w14:paraId="2B2D869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坚持党的领导，统筹推进智能经济发展，一方面，党中央出台顶层设计，明确智能经济与新质生产力融合发展的目标任务；另一方面，政府完善智能经济相关法律法规，加大研发投入，优化营商环境，规范智能技术应用，同时自觉接受人大监督、社会监督，推动智能经济健康有序发展。</w:t>
      </w:r>
    </w:p>
    <w:p w14:paraId="63F7A38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结合材料，运用《政治与法治》知识，说明我国如何通过政治保障推动智能经济健康发展。</w:t>
      </w:r>
    </w:p>
    <w:p w14:paraId="4E4F6087">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65" name="图片 165"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5EE8C6B">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016635"/>
                <wp:effectExtent l="6350" t="6350" r="22225" b="24765"/>
                <wp:docPr id="166" name="文本框 166"/>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先梳理材料中的政治主体，明确“党—政府—监督”的逻辑主线；答题时突出“政治保障”，避免泛谈经济举措，每点均对应具体政治主体和职能，使用“坚持、完善、履行、强化”等规范动词，确保术语准确，贴合智能经济发展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57" style="width:489.75pt;height:80.05pt" arcsize="5680f" coordsize="21600,21600" filled="t" fillcolor="#fce6d5" stroked="t" strokecolor="#249087">
                <v:fill opacity="26214f"/>
                <v:stroke joinstyle="round" dashstyle="longDashDotDot"/>
                <o:lock v:ext="edit" aspectratio="f"/>
                <v:textbox>
                  <w:txbxContent>
                    <w:p w14:paraId="10AECCD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先梳理材料中的政治主体，明确“党—政府—监督”的逻辑主线；答题时突出“政治保障”，避免泛谈经济举措，每点均对应具体政治主体和职能，使用“坚持、完善、履行、强化”等规范动词，确保术语准确，贴合智能经济发展情境。</w:t>
                      </w:r>
                    </w:p>
                    <w:p w14:paraId="04B6186B"/>
                  </w:txbxContent>
                </v:textbox>
                <w10:anchorlock/>
              </v:roundrect>
            </w:pict>
          </mc:Fallback>
        </mc:AlternateContent>
      </w:r>
    </w:p>
    <w:p w14:paraId="732305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考向二：经济与社会——智能经济与新质生产力的经济实践</w:t>
      </w:r>
    </w:p>
    <w:p w14:paraId="3C4968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推动智能经济与实体经济深度融合，加大人工智能、工业互联网等领域研发投入，推动传统制造业数智化转型，培育壮大智能机器人、智慧医疗等新兴产业，同时完善数字基础设施建设，释放消费潜力。这些举措对培育新质生产力的作用是（ ）</w:t>
      </w:r>
    </w:p>
    <w:p w14:paraId="4AD10FF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①推动技术创新，筑牢新质生产力的核心支撑</w:t>
      </w:r>
    </w:p>
    <w:p w14:paraId="254A87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②优化产业结构，推动新质生产力与产业升级深度融合</w:t>
      </w:r>
    </w:p>
    <w:p w14:paraId="735167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③完善基础设施，为新质生产力发展提供物质保障</w:t>
      </w:r>
    </w:p>
    <w:p w14:paraId="6BDE35E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④扩大消费需求，成为新质生产力发展的根本动力</w:t>
      </w:r>
    </w:p>
    <w:p w14:paraId="5B6D9EB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15DD996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智能经济发展成效显著：工业机器人、智能传感器等产品产量大幅增长，工业互联网平台覆盖全行业；传统制造业通过智能改造，生产效率提升30%以上；智慧消费、智慧养老等新业态快速发展，带动就业岗位新增500万个；同时，我国加大智能技术核心攻关力度，在具身智能、6G等领域取得突破性进展，推动新质生产力加速发展，为高质量发展注入强劲动力。</w:t>
      </w:r>
    </w:p>
    <w:p w14:paraId="1519EC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结合材料，运用《经济与社会》知识，分析我国智能经济发展对培育新质生产力、推动高质量发展的作用。</w:t>
      </w:r>
    </w:p>
    <w:p w14:paraId="7998E034">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63" name="图片 163"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372299F">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016635"/>
                <wp:effectExtent l="6350" t="6350" r="22225" b="24765"/>
                <wp:docPr id="164" name="文本框 164"/>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成效，再对接新质生产力、高质量发展的核心要求，避免泛谈；答题时突出“智能经济”的特色，使用“推动、培育、带动、完善”等动词，结合材料数据（如生产效率提升30%、新增就业500万个），增强答案的针对性和说服力。</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58" style="width:489.75pt;height:80.05pt" arcsize="5680f" coordsize="21600,21600" filled="t" fillcolor="#fce6d5" stroked="t" strokecolor="#249087">
                <v:fill opacity="26214f"/>
                <v:stroke joinstyle="round" dashstyle="longDashDotDot"/>
                <o:lock v:ext="edit" aspectratio="f"/>
                <v:textbox>
                  <w:txbxContent>
                    <w:p w14:paraId="5CCDBFC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成效，再对接新质生产力、高质量发展的核心要求，避免泛谈；答题时突出“智能经济”的特色，使用“推动、培育、带动、完善”等动词，结合材料数据（如生产效率提升30%、新增就业500万个），增强答案的针对性和说服力。</w:t>
                      </w:r>
                    </w:p>
                    <w:p w14:paraId="08ABD9B1"/>
                  </w:txbxContent>
                </v:textbox>
                <w10:anchorlock/>
              </v:roundrect>
            </w:pict>
          </mc:Fallback>
        </mc:AlternateContent>
      </w:r>
    </w:p>
    <w:p w14:paraId="2FBAA47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考向三：中国特色社会主义——智能经济与中国式现代化的推进</w:t>
      </w:r>
    </w:p>
    <w:p w14:paraId="3E8F2C4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2026年，我国打造智能经济新形态，加速发展新质生产力，推动智能技术与农业、工业、服务业深度融合，既注重技术创新突破，又聚焦民生福祉提升，让智能经济发展成果更多更公平惠及全体人民。这表明（ ）</w:t>
      </w:r>
    </w:p>
    <w:p w14:paraId="1DBFD2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①智能经济是推进中国式现代化的重要支撑</w:t>
      </w:r>
    </w:p>
    <w:p w14:paraId="016354B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②中国式现代化是全体人民共同富裕的现代化</w:t>
      </w:r>
    </w:p>
    <w:p w14:paraId="73E48FA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③新质生产力的发展离不开智能经济的载体作用</w:t>
      </w:r>
    </w:p>
    <w:p w14:paraId="272B0D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④中国特色社会主义制度不具有应对科技竞争的优势</w:t>
      </w:r>
    </w:p>
    <w:p w14:paraId="1D0AECE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5F3B7EB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立足中国式现代化全局，以智能经济为抓手，加速发展新质生产力，一方面，加大智能技术研发投入，突破核心技术瓶颈，提升科技竞争力，应对全球科技竞争；另一方面，推动智能技术向民生领域延伸，优化智慧政务、智慧医疗、智慧养老等服务，缩小城乡、区域智能发展差距，推动共同富裕，彰显中国特色社会主义制度的显著优势。</w:t>
      </w:r>
    </w:p>
    <w:p w14:paraId="3FD52E1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结合材料，运用《中国特色社会主义》知识，说明打造智能经济新形态、加速发展新质生产力对推进中国式现代化的意义。</w:t>
      </w:r>
    </w:p>
    <w:p w14:paraId="1AEE164A">
      <w:pPr>
        <w:shd w:val="clear" w:color="auto" w:fill="auto"/>
        <w:spacing w:before="0" w:after="0" w:line="360" w:lineRule="auto"/>
        <w:ind w:firstLine="210" w:firstLineChars="100"/>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61" name="图片 161"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1"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697D4A2">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025525"/>
                <wp:effectExtent l="6350" t="6350" r="22225" b="15875"/>
                <wp:docPr id="162" name="文本框 162"/>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2552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高质量发展、共同富裕、人与自然和谐共生等），将智能经济、新质生产力的作用与这些特征对应，每点均突出“对中国式现代化的具体意义”，避免脱离中国式现代化泛谈作用；答题时术语规范，体现中国特色社会主义制度优势，增强政治站位。</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59" style="width:489.75pt;height:80.75pt" arcsize="5680f" coordsize="21600,21600" filled="t" fillcolor="#fce6d5" stroked="t" strokecolor="#249087">
                <v:fill opacity="26214f"/>
                <v:stroke joinstyle="round" dashstyle="longDashDotDot"/>
                <o:lock v:ext="edit" aspectratio="f"/>
                <v:textbox>
                  <w:txbxContent>
                    <w:p w14:paraId="3295ED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高质量发展、共同富裕、人与自然和谐共生等），将智能经济、新质生产力的作用与这些特征对应，每点均突出“对中国式现代化的具体意义”，避免脱离中国式现代化泛谈作用；答题时术语规范，体现中国特色社会主义制度优势，增强政治站位。</w:t>
                      </w:r>
                    </w:p>
                    <w:p w14:paraId="7985394D"/>
                  </w:txbxContent>
                </v:textbox>
                <w10:anchorlock/>
              </v:roundrect>
            </w:pict>
          </mc:Fallback>
        </mc:AlternateContent>
      </w:r>
    </w:p>
    <w:p w14:paraId="7F60D3E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考向四：哲学与文化——智能经济发展的哲学思维与文化支撑</w:t>
      </w:r>
    </w:p>
    <w:p w14:paraId="4EB06D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打造智能经济新形态，既立足全局，统筹智能技术研发、产业发展、民生应用等多个方面，推动协同发力；又聚焦核心痛点，集中力量突破智能领域核心技术“卡脖子”问题，推动新质生产力加速发展。这体现的唯物辩证法道理是（ ）</w:t>
      </w:r>
    </w:p>
    <w:p w14:paraId="7E4BB2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w:t>
      </w:r>
    </w:p>
    <w:p w14:paraId="6E99C57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w:t>
      </w:r>
    </w:p>
    <w:p w14:paraId="1FDA958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③坚持量变与质变的辩证统一</w:t>
      </w:r>
    </w:p>
    <w:p w14:paraId="436DE0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④坚持矛盾同一性与斗争性的统一</w:t>
      </w:r>
    </w:p>
    <w:p w14:paraId="10FD8A2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2A2A4D2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在推动智能经济发展、培育新质生产力的过程中，注重培育创新精神、奋斗精神，加强科普宣传，提升全民科学文化素养；传承中华优秀传统文化中的创新理念、团结精神，结合智能技术发展实践，培育新时代智能创新文化；同时，加强国际科技文化交流合作，吸收借鉴国际先进经验，推动智能文化创新发展，为智能经济发展提供强大文化支撑。</w:t>
      </w:r>
    </w:p>
    <w:p w14:paraId="59A301D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结合材料，运用《哲学与文化》知识，说明文化建设对打造智能经济新形态、培育新质生产力的支撑作用。</w:t>
      </w:r>
    </w:p>
    <w:p w14:paraId="0CC7C3F8">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59" name="图片 159"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577B0CAE">
      <w:pPr>
        <w:keepNext w:val="0"/>
        <w:keepLines w:val="0"/>
        <w:pageBreakBefore w:val="0"/>
        <w:widowControl/>
        <w:suppressLineNumbers w:val="0"/>
        <w:pBdr>
          <w:top w:val="none" w:sz="0" w:space="0" w:color="auto"/>
          <w:left w:val="none" w:sz="0" w:space="0" w:color="auto"/>
          <w:bottom w:val="none" w:sz="0" w:space="0" w:color="auto"/>
          <w:right w:val="none" w:sz="0" w:space="0" w:color="auto"/>
        </w:pBdr>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ascii="Times New Roman" w:eastAsia="宋体" w:hAnsi="Times New Roman" w:cs="Times New Roman" w:hint="default"/>
          <w:sz w:val="21"/>
          <w:szCs w:val="21"/>
        </w:rPr>
      </w:pPr>
      <w:r>
        <w:rPr>
          <w:sz w:val="22"/>
        </w:rPr>
        <mc:AlternateContent>
          <mc:Choice Requires="wps">
            <w:drawing>
              <wp:inline distT="0" distB="0" distL="114300" distR="114300">
                <wp:extent cx="6219825" cy="1016635"/>
                <wp:effectExtent l="6350" t="6350" r="22225" b="24765"/>
                <wp:docPr id="160" name="文本框 160"/>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智能经济发展情境，每点均体现“文化→智能经济/新质生产力”的逻辑，避免泛谈文化作用，确保贴合题意。</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60" style="width:489.75pt;height:80.05pt" arcsize="5680f" coordsize="21600,21600" filled="t" fillcolor="#fce6d5" stroked="t" strokecolor="#249087">
                <v:fill opacity="26214f"/>
                <v:stroke joinstyle="round" dashstyle="longDashDotDot"/>
                <o:lock v:ext="edit" aspectratio="f"/>
                <v:textbox>
                  <w:txbxContent>
                    <w:p w14:paraId="315947D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智能经济发展情境，每点均体现“文化→智能经济/新质生产力”的逻辑，避免泛谈文化作用，确保贴合题意。</w:t>
                      </w:r>
                    </w:p>
                  </w:txbxContent>
                </v:textbox>
                <w10:anchorlock/>
              </v:roundrect>
            </w:pict>
          </mc:Fallback>
        </mc:AlternateContent>
      </w:r>
    </w:p>
    <w:p w14:paraId="5220E5CC">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26" name="组合 26"/>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7"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30"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31"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61" style="width:16pt;height:22.05pt" coordorigin="6081,38224" coordsize="389,536">
                <o:lock v:ext="edit" aspectratio="f"/>
                <v:roundrect id="圆角矩形 13" o:spid="_x0000_s1062" style="width:113;height:340;flip:x;left:6358;position:absolute;rotation:13;top:38413;v-text-anchor:middle" arcsize="10923f" coordsize="21600,21600" filled="t" fillcolor="#7ddfd7" stroked="f">
                  <v:stroke joinstyle="miter"/>
                  <o:lock v:ext="edit" aspectratio="f"/>
                </v:roundrect>
                <v:roundrect id="矩形 16" o:spid="_x0000_s1063" style="width:113;height:412;flip:x;left:6225;position:absolute;rotation:8;top:38343;v-text-anchor:middle" arcsize="10923f" coordsize="21600,21600" filled="t" fillcolor="#c81d31" stroked="f">
                  <v:stroke joinstyle="miter"/>
                  <o:lock v:ext="edit" aspectratio="f"/>
                </v:roundrect>
                <v:roundrect id="圆角矩形 14" o:spid="_x0000_s106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7A6FDC27">
      <w:pPr>
        <w:rPr>
          <w:rFonts w:ascii="Times New Roman" w:hAnsi="Times New Roman" w:cs="Times New Roman" w:hint="default"/>
          <w:sz w:val="21"/>
          <w:lang w:val="en-US" w:eastAsia="zh-CN"/>
        </w:rPr>
      </w:pPr>
    </w:p>
    <w:p w14:paraId="1B98619C">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2761ED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新一轮科技革命和产业变革加速演进，前沿科技不断涌现。今年两会政府工作报告提出“加紧培育壮大新动能”“打造智能经济新形态”。领导干部须“知科技、懂产业、善决策”，及时跟进新兴业态，对科技发展的趋势有准确把握，正确处理好改革发展中不断涌现的新问题新情况，制定出切实可行的政策措施。这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D4D101C">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A．党要不断转变执政方式和领导方式，为新业态发展提供根本保证</w:t>
      </w:r>
    </w:p>
    <w:p w14:paraId="1C49256E">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B．党发挥总揽全局、协调各方的作用，为智能经济发展提供行动指南</w:t>
      </w:r>
    </w:p>
    <w:p w14:paraId="49890D64">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C．党积极行使行政权力制定政策措施，将科技势能转化为发展动能</w:t>
      </w:r>
    </w:p>
    <w:p w14:paraId="55266FDB">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D．党要切实提高科学执政和科学决策的水平，系统布局智能经济发展格局</w:t>
      </w:r>
    </w:p>
    <w:p w14:paraId="08B5F14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智能经济新形态，是以人工智能为核心驱动力、以数据为关键要素、以全域智能化为基本特征的新一代经济形态，是“人工智能+”从局部赋能向系统性重塑转型的产物。关于打造“智能经济新形态”的实施路径，下列传导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F8F00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①更新基础设施→实现数据广泛汇聚→优化算力结构→输出高效智能服务</w:t>
      </w:r>
    </w:p>
    <w:p w14:paraId="0B5AFFC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②聚焦技术攻关→突破核心算法→嵌入业务场景→赋能传统产业智能化升级</w:t>
      </w:r>
    </w:p>
    <w:p w14:paraId="19E0EAA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③构建智能产业平台→新业态持续涌现→催生营销模式创新→实现资源要素整合</w:t>
      </w:r>
    </w:p>
    <w:p w14:paraId="77BFF97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④重建标准体系→提升数据生成能力→降低协作成本→推动智能经济生态繁荣</w:t>
      </w:r>
    </w:p>
    <w:p w14:paraId="5C84F60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288EDD7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3．从“互联网+”到“人工智能+”，再到“打造智能经济新形态”，我国对数字技术与经济融合的认识不断深化。从哲学角度看，这体现了（</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BA201F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①社会存在的变化决定社会意识的变化</w:t>
      </w:r>
    </w:p>
    <w:p w14:paraId="7E2190B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②认识具有无限性，追求真理是一个永无止境的过程</w:t>
      </w:r>
    </w:p>
    <w:p w14:paraId="761B1C2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③创新是事物发展的源泉和动力</w:t>
      </w:r>
    </w:p>
    <w:p w14:paraId="5FD9EDB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④上层建筑适应经济基础就能推动生产力发展</w:t>
      </w:r>
    </w:p>
    <w:p w14:paraId="33AD571B">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54CEA82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4．2026年国务院政府工作报告首次提出“打造智能经济新形态”。所谓“智能经济”，是以人工智能为核心驱动力，以数据为关键要素，以算力为重要底座的一种新型经济形态。由这一定义可知（</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E2B79F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①“新型经济形态”是定义项</w:t>
      </w:r>
    </w:p>
    <w:p w14:paraId="4559A12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②有些新型经济形态是“智能经济”</w:t>
      </w:r>
    </w:p>
    <w:p w14:paraId="735C457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③该概念的外延是以人工智能为核心驱动力，以数据为关键要素，以算力为重要底座的新型经济形态集合</w:t>
      </w:r>
    </w:p>
    <w:p w14:paraId="170E06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④若扩大该概念的外延，其内涵会更加丰富和深化，二者呈正相关关系</w:t>
      </w:r>
    </w:p>
    <w:p w14:paraId="75776A29">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51860FF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历史上，生产力的每一次重大跃迁，皆以当时的产业形态为基础，推动经济社会制度演变以及新型生产关系逐步形成。2026年3月5日十四届全国人大四次会议开幕，国务院总理李强作政府工作报告，明确提出“打造智能经济新形态”。对材料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3624E27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①智能经济新形态顺应生产力发展要求，有利于推动生产关系完善</w:t>
      </w:r>
    </w:p>
    <w:p w14:paraId="65E00E9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②打造智能经济新形态能彻底解决现阶段我国社会的主要矛盾</w:t>
      </w:r>
    </w:p>
    <w:p w14:paraId="3F490F6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③生产力是社会发展的最终决定力量，智能经济是生产力发展的体现</w:t>
      </w:r>
    </w:p>
    <w:p w14:paraId="69A0C4D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④经济社会制度的演变决定生产力的重大跃迁与产业形态升级</w:t>
      </w:r>
    </w:p>
    <w:p w14:paraId="171DF74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786074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今年政府工作报告首次提出“打造智能经济新形态”，明确要深化拓展“人工智能＋”，促进新一代智能终端和智能体加快推广，推动重点行业领域人工智能商业化规模化应用，支持人工智能开源社区建设，促进开源生态繁荣，深化数据资源开发利用，健全数据要素基础制度，建设高质量数据集。这一系列举措对我国经济发展的影响路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C673EF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①推广智能终端→打破设备孤岛→构建全场景智慧生态→提高数字服务门槛</w:t>
      </w:r>
    </w:p>
    <w:p w14:paraId="3990337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②AI规模化应用→就业结构适应性调整→职业培训系统革新→促进高质量就业</w:t>
      </w:r>
    </w:p>
    <w:p w14:paraId="42DDD40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③建设开源社区→降低研发成本→市场主体广泛参与→人工智能产业生态繁荣</w:t>
      </w:r>
    </w:p>
    <w:p w14:paraId="7CAE67F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④健全数据制度→推动数据强制共享→推进数据要素市场化→释放数据价值</w:t>
      </w:r>
    </w:p>
    <w:p w14:paraId="0CFEE1B2">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2F6CC84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2026年政府工作报告，提出“制定实施城乡居民增收计划”，在促进低收入群体增收、增加居民财产性收入等方面推出一批务实举措；同时提出，要“打造智能经济新形态”，深化拓展“人工智能+”，促进新一代智能终端和智能体加快推广。这些新提法体现了（</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464279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①坚持投资于物和投资于人紧密结合，促进人的全面发展</w:t>
      </w:r>
    </w:p>
    <w:p w14:paraId="7878D23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②完善收入分配，坚持居民收入增长和经济增长完全同步</w:t>
      </w:r>
    </w:p>
    <w:p w14:paraId="6E234C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③在高质量发展中扎实推进共同富裕，实现效率与公平相统一</w:t>
      </w:r>
    </w:p>
    <w:p w14:paraId="50325DF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④发挥市场在资源配置中的决定性作用，激发各类经营主体活力</w:t>
      </w:r>
    </w:p>
    <w:p w14:paraId="44C1C0C1">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124A761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2026年政府工作报告首次提出打造智能经济新形态，强调要深化拓展“人工智能+”行动，把数据作为新型生产要素，布局超大规模智算集群、算电协同等新型基础设施，推动新一代智能终端与智能体规模化应用，加快构建现代化产业体系。这一系列部署（</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3025A7C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①彰显政府通过科学宏观调控优化要素配置，助力培育新质生产力</w:t>
      </w:r>
    </w:p>
    <w:p w14:paraId="2A7F638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②意在推动数字技术与实体经济深度融合，为高质量发展注入强劲动力</w:t>
      </w:r>
    </w:p>
    <w:p w14:paraId="3BC36F6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③强化政府对新型生产要素的直接管控，夯实数字经济安全稳定的基础</w:t>
      </w:r>
    </w:p>
    <w:p w14:paraId="5FE9C03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④表明政府是提供高质量供给的主要载体，能够解决市场调节缺陷</w:t>
      </w:r>
    </w:p>
    <w:p w14:paraId="4D85D51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42A58AA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9．2026年政府工作报告首次提出“打造智能经济新形态”，有专家解读说：“如果不能统筹好算力、数据和算法这三项关键资源，就无法支撑智能经济新形态的可持续发展。”下列对此理解正确的是（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F021CB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①只要统筹好这三项关键资源，就能实现智能经济新形态的可持续发展</w:t>
      </w:r>
    </w:p>
    <w:p w14:paraId="6F621A5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②未统筹三项关键资源，则不能支撑智能经济新形态的可持续发展</w:t>
      </w:r>
    </w:p>
    <w:p w14:paraId="7ED399A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③若实现了智能经济新形态的可持续发展，说明三项关键资源已统筹到位</w:t>
      </w:r>
    </w:p>
    <w:p w14:paraId="1B34CFB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④统筹了三项关键资源，就一定能支撑智能经济新形态的可持续发展</w:t>
      </w:r>
    </w:p>
    <w:p w14:paraId="6E329C7C">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286CE6F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10．2026年政府工作报告首次提出“打造智能经济新形态”，强调要深化拓展“人工智能+”，促进新一代智能终端和智能体加快推广。这一举措的主要目的在于（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1471199">
      <w:pPr>
        <w:shd w:val="clear" w:color="auto" w:fill="auto"/>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A．取代传统劳动力，彻底解决就业结构性矛盾</w:t>
      </w:r>
    </w:p>
    <w:p w14:paraId="6A42D8B6">
      <w:pPr>
        <w:shd w:val="clear" w:color="auto" w:fill="auto"/>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B．抓住人工智能发展机遇，培育新动能，打开经济增长新空间</w:t>
      </w:r>
    </w:p>
    <w:p w14:paraId="50CF850A">
      <w:pPr>
        <w:shd w:val="clear" w:color="auto" w:fill="auto"/>
        <w:spacing w:line="360" w:lineRule="auto"/>
        <w:ind w:left="380"/>
        <w:jc w:val="left"/>
        <w:textAlignment w:val="center"/>
        <w:rPr>
          <w:rFonts w:ascii="Times New Roman" w:hAnsi="Times New Roman" w:cs="Times New Roman" w:hint="default"/>
          <w:sz w:val="21"/>
        </w:rPr>
      </w:pPr>
      <w:r>
        <w:rPr>
          <w:rFonts w:ascii="Times New Roman" w:hAnsi="Times New Roman" w:cs="Times New Roman" w:hint="default"/>
          <w:sz w:val="21"/>
        </w:rPr>
        <w:t>C．减少政府对经济的干预，完全由市场配置数据要素</w:t>
      </w:r>
    </w:p>
    <w:p w14:paraId="03960723">
      <w:pPr>
        <w:shd w:val="clear" w:color="auto" w:fill="auto"/>
        <w:spacing w:line="360" w:lineRule="auto"/>
        <w:ind w:left="380"/>
        <w:jc w:val="left"/>
        <w:textAlignment w:val="center"/>
        <w:rPr>
          <w:rFonts w:ascii="Times New Roman" w:eastAsia="黑体" w:hAnsi="Times New Roman" w:cs="Times New Roman" w:hint="eastAsia"/>
          <w:b/>
          <w:i w:val="0"/>
          <w:color w:val="000000"/>
          <w:sz w:val="30"/>
          <w:lang w:eastAsia="zh-CN"/>
        </w:rPr>
      </w:pPr>
      <w:r>
        <w:rPr>
          <w:rFonts w:ascii="Times New Roman" w:hAnsi="Times New Roman" w:cs="Times New Roman" w:hint="default"/>
          <w:sz w:val="21"/>
        </w:rPr>
        <w:t>D．缩小城乡数字鸿沟，实现各地区同步富裕</w:t>
      </w:r>
    </w:p>
    <w:p w14:paraId="58ED990C">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4DD5557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7DA75F4A">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2026年国务院政府工作报告提出“打造智能经济新形态”，要求深化拓展“人工智能＋”和“数据资源开发利用”，加紧培育壮大新动能。</w:t>
      </w:r>
    </w:p>
    <w:p w14:paraId="6996A175">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激活数字经济新动能</w:t>
      </w:r>
    </w:p>
    <w:p w14:paraId="41DC14B9">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在互联网时代，数据要素是数字经济深化发展的核心引擎。河南正以国家数据要素综合试验区建设为契机，为数字经济高质量发展贡献“河南方案”。</w:t>
      </w:r>
    </w:p>
    <w:p w14:paraId="5DD7204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为贯彻落实国家“数据要素×”行动，河南省密集出台《河南省数据要素市场培育行动方案（2025——2027年）》等一系列政策文件，建立公共数据授权运营机制，推动公共数据安全合规开放。针对河南经济发展仍存在数字基础薄弱问题，以郑州数据交易中心为核心，形成覆盖全省、辐射全国的数据流通网络。同时，河南统筹布局“云、网、数、端”的全国一体化算力网络枢纽节点建设，为数据汇聚、流通和处理提供坚实保障。河南漯河以数据赋能食品产业，新乡依托中原农谷发展数字农业，南阳在中药材、耐火材料等特色领域拓展数据应用场景……在奔涌的数据洪流中，河南正以“先行者”的魄力，扬帆破浪。</w:t>
      </w:r>
    </w:p>
    <w:p w14:paraId="53DE094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(1)结合材料，运用《经济与社会》知识，分析河南省是如何通过“数据要素×”行动塑造发展新动能的。</w:t>
      </w:r>
    </w:p>
    <w:p w14:paraId="30D9489F">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抢占具身智能新赛道</w:t>
      </w:r>
    </w:p>
    <w:p w14:paraId="12D1EC9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具身智能是人工智能与机器人技术深度融合的产物，通过为智能体配备“物理身体”，实现从感知、决策到执行的闭环，完成从“能想”到“会做”的跨越。</w:t>
      </w:r>
    </w:p>
    <w:p w14:paraId="473C57B5">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具身智能在劳动力短缺、高危作业等场景展现替代潜力，人形机器人被视为其最佳载体。然而，该产业从实验室走向规模化仍面临“大脑”（通用大模型决策能力）与“身体”（关键硬件）的双重挑战：一方面，高质量、规模化训练数据的获取与处理是关键瓶颈；另一方面，核心零部件的自主可控与成本控制是规模落地的前提。我国具身智能行业积极构建协同产业生态，以“需求牵引技术、技术反哺应用”为路径，率先在高价值场景取得突破，形成数据飞轮效应。同时完善产业链条，建立标准与安全体系，从而推动具身智能迈向规模化应用与人机协同的新阶段。</w:t>
      </w:r>
    </w:p>
    <w:p w14:paraId="32C1E73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(2)结合材料，运用把握辩证分合的思维方法，阐释我国具身智能为什么能实现从“能想”到“会做”的跨越。</w:t>
      </w:r>
    </w:p>
    <w:p w14:paraId="51CB20A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033D2A10">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为顺应科技革命趋势，在全球智能经济格局中抢占先机，2026年政府工作报告首次提出“打造智能经济新形态”，意味着以人工智能为核心的新质生产力进入规模化应用的新阶段。以前生产主要靠人力、机器和资金，现在靠的是数据、算法和AI；以前是人指挥机器，现在是人机协同；以前是规模化、标准化的流水线生产，现在是柔性制造、按需定制。大模型、智能体、具身智能等实现规模化落地，AI从“会聊天”到“会办事”，制造业、服务业数字化转型从单点赋能转向全链条重塑。智能经济新形态通过“人工智能+”深度融入实体经济，正逐步成为推动高质量发展的强劲动能。</w:t>
      </w:r>
    </w:p>
    <w:p w14:paraId="320CA33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结合材料，运用《经济与社会》相关知识，分析怎样让智能经济新形态成为推动高质量发展的强劲动能。</w:t>
      </w:r>
    </w:p>
    <w:p w14:paraId="796F32B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64ED479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2026年《政府工作报告》明确：培育壮大新兴产业和未来产业，打造智能经济新形态。我国人工智能产业在技术创新、产品创造和行业应用等方面实现快速发展。伴随以大模型为代表的新技术加速迭代，同时也暴露出技术标准不统一、数据接口不兼容、安全伦理规范滞后等问题，制约了产业协同创新和全球化发展，亟需配套的制度规范予以引导。2024年6月，工业和信息化部等四部门联合印发的《国家人工智能产业综合标准化体系建设指南(2024版)》明确，到2026年，要新制定国家标准和行业标准50项以上，参与制定国际标准20项以上，促进人工智能产业全球化发展。我国要充分吸收先进国家的经验，更多地参与国际标准制定，提升我国在国际标准化领域的影响力和话语权。</w:t>
      </w:r>
    </w:p>
    <w:p w14:paraId="299886AE">
      <w:pPr>
        <w:shd w:val="clear" w:color="auto" w:fill="auto"/>
        <w:spacing w:line="360" w:lineRule="auto"/>
        <w:jc w:val="left"/>
        <w:textAlignment w:val="center"/>
        <w:rPr>
          <w:rFonts w:ascii="Times New Roman" w:hAnsi="Times New Roman" w:eastAsiaTheme="minorEastAsia" w:cs="Times New Roman" w:hint="eastAsia"/>
          <w:sz w:val="21"/>
          <w:lang w:eastAsia="zh-CN"/>
        </w:rPr>
      </w:pPr>
      <w:r>
        <w:rPr>
          <w:rFonts w:ascii="Times New Roman" w:hAnsi="Times New Roman" w:cs="Times New Roman" w:hint="default"/>
          <w:sz w:val="21"/>
        </w:rPr>
        <w:t>结合材料，运用社会基本矛盾运动的知识，说明我国加强人工智能产业综合标准化体系建设的原因。</w:t>
      </w:r>
    </w:p>
    <w:p w14:paraId="2AFBA7B7">
      <w:pPr>
        <w:rPr>
          <w:rFonts w:ascii="Times New Roman" w:hAnsi="Times New Roman" w:cs="Times New Roman" w:hint="default"/>
          <w:sz w:val="21"/>
          <w:lang w:val="en-US" w:eastAsia="zh-CN"/>
        </w:rPr>
      </w:pPr>
    </w:p>
    <w:p w14:paraId="3CCA11A3">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hint="eastAsia"/>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117" name="图片 117"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3</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每一次咬牙坚持，都是靠近理想的一步。—— 路遥</w:t>
      </w:r>
    </w:p>
    <w:p w14:paraId="36A99186">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default"/>
          <w:b/>
          <w:bCs/>
          <w:sz w:val="32"/>
          <w:szCs w:val="32"/>
          <w:lang w:val="en-US" w:eastAsia="zh-CN"/>
        </w:rPr>
      </w:pPr>
      <w:r>
        <w:rPr>
          <w:rFonts w:ascii="微软雅黑" w:eastAsia="微软雅黑" w:hAnsi="微软雅黑" w:cs="微软雅黑" w:hint="eastAsia"/>
          <w:b/>
          <w:bCs/>
          <w:sz w:val="32"/>
          <w:szCs w:val="32"/>
          <w:lang w:val="en-US" w:eastAsia="zh-CN"/>
        </w:rPr>
        <w:t>时政热点03：海南自贸启新程 开放中国向未来</w:t>
      </w:r>
    </w:p>
    <w:p w14:paraId="083EAE30">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67" name="组合 167"/>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68"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69"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0"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65" style="width:16pt;height:22.05pt" coordorigin="6081,38224" coordsize="389,536">
                <o:lock v:ext="edit" aspectratio="f"/>
                <v:roundrect id="圆角矩形 13" o:spid="_x0000_s1066" style="width:113;height:340;flip:x;left:6358;position:absolute;rotation:13;top:38413;v-text-anchor:middle" arcsize="10923f" coordsize="21600,21600" filled="t" fillcolor="#2e54a1" stroked="f">
                  <v:stroke joinstyle="miter"/>
                  <o:lock v:ext="edit" aspectratio="f"/>
                </v:roundrect>
                <v:roundrect id="矩形 16" o:spid="_x0000_s1067" style="width:113;height:412;flip:x;left:6225;position:absolute;rotation:8;top:38343;v-text-anchor:middle" arcsize="10923f" coordsize="21600,21600" filled="t" fillcolor="#c81d31" stroked="f">
                  <v:stroke joinstyle="miter"/>
                  <o:lock v:ext="edit" aspectratio="f"/>
                </v:roundrect>
                <v:roundrect id="圆角矩形 14" o:spid="_x0000_s106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3B9B905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35BC201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是海南自由贸易港建设从“封关运作准备”向“高质量发展”转型的关键一年，作为我国对外开放的战略前沿，海南自贸港持续释放制度创新红利，成为推动高水平对外开放、构建新发展格局的重要引擎。当前，海南自贸港封关运作各项准备工作稳步推进，税收、金融、投资、贸易等领域开放政策持续落地，逐步形成“零关税、低税率、简税制”的政策体系，吸引全球资本、技术、人才加速集聚。</w:t>
      </w:r>
    </w:p>
    <w:p w14:paraId="5B85D7A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海南自贸港锚定“三区一中心”战略定位，持续深化制度型开放，在跨境服务贸易负面清单缩减、跨境人民币结算便利化、高端产业园区建设等方面取得突破性进展。自贸港重点培育旅游业、现代服务业、高新技术产业和热带特色高效农业，推动数字贸易、跨境电商、离岸金融等新业态蓬勃发展；同时，加强与东盟、RCEP成员国的经贸合作，搭建跨境合作平台，推动“中国开放的大门越开越大”，彰显我国坚持对外开放的基本国策。</w:t>
      </w:r>
    </w:p>
    <w:p w14:paraId="473434E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海南自贸港建设既面临全球经济复苏乏力、国际竞争加剧的外部挑战，也拥有政策支持、区位优势、生态禀赋的内部优势。立足中国式现代化全局，海南自贸港建设不仅是推动区域协调发展、实现共同富裕的重要实践，更是我国参与全球经济治理、展现大国担当的重要窗口。</w:t>
      </w:r>
    </w:p>
    <w:p w14:paraId="586F50F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2A5DA84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考向一：政治与法治——海南自贸港建设的政治保障与治理效能</w:t>
      </w:r>
    </w:p>
    <w:p w14:paraId="3845A47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海南自贸港建设的顶层设计、政府履职、法治保障、基层治理等情境，考查党的领导、政府职能、依法行政、全过程人民民主、国家治理体系和治理能力现代化等知识，分析海南自贸港建设背后的政治逻辑和治理优势。</w:t>
      </w:r>
    </w:p>
    <w:p w14:paraId="4230CDA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统筹自贸港建设顶层设计、明确发展方向）；政府的经济建设、社会建设、生态文明建设职能（推动产业发展、完善基础设施、保护生态环境）；依法行政与法治自贸港建设（完善自贸港相关法律法规、规范市场秩序）；全过程人民民主（人大立法保障、政协建言献策、群众参与治理）；国家治理体系和治理能力现代化（制度创新提升治理效能、跨区域协同治理）。</w:t>
      </w:r>
    </w:p>
    <w:p w14:paraId="3379A350">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考向二：经济与社会——海南自贸港的开放实践与高质量发展</w:t>
      </w:r>
    </w:p>
    <w:p w14:paraId="041B9CF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海南自贸港“零关税、低税率、简税制”政策、产业发展举措、对外开放实践，考查新发展理念、现代化经济体系、社会主义市场经济体制、高水平对外开放、共同富裕等知识，分析自贸港建设对推动高质量发展、构建新发展格局的作用。</w:t>
      </w:r>
    </w:p>
    <w:p w14:paraId="6C7B9C2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开放发展理念（自贸港是开放发展的重要载体，推动高水平对外开放）；现代化经济体系（培育高端产业、推动产业转型升级，完善开放型经济体系）；社会主义市场经济体制（市场在资源配置中起决定性作用，更好发挥政府作用，激发市场活力）；高水平对外开放（扩大服务业开放、推动贸易投资自由化便利化）；共同富裕（带动海南区域发展、促进城乡融合，让开放成果惠及全体人民）。</w:t>
      </w:r>
    </w:p>
    <w:p w14:paraId="6ECA5B4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考向三：中国特色社会主义——海南自贸港与中国式现代化的推进</w:t>
      </w:r>
    </w:p>
    <w:p w14:paraId="0DEE48B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海南自贸港建设的时代意义，考查中国式现代化的特征、中国特色社会主义制度的优越性、民族复兴的路径、人类命运共同体等知识，阐释海南自贸港建设对推进中国式现代化、展现中国开放决心的重要意义。</w:t>
      </w:r>
    </w:p>
    <w:p w14:paraId="4265ED6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自贸港建设契合“高质量发展、对外开放、共同富裕、人与自然和谐共生”要求）；中国特色社会主义制度的显著优势（集中力量办大事、制度创新、对外开放，为自贸港建设提供保障）；以中国式现代化推进中华民族伟大复兴（自贸港破解区域发展不平衡问题、增强开放动能）；人类命运共同体理念（自贸港搭建国际合作平台，推动中国与世界共赢发展）。</w:t>
      </w:r>
    </w:p>
    <w:p w14:paraId="13A7CF9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bookmarkStart w:id="19" w:name="heading_5"/>
      <w:r>
        <w:rPr>
          <w:rFonts w:ascii="宋体" w:eastAsia="宋体" w:hAnsi="宋体" w:cs="宋体" w:hint="eastAsia"/>
          <w:b/>
          <w:sz w:val="21"/>
          <w:szCs w:val="21"/>
        </w:rPr>
        <w:t>考向四：哲学与文化——海南自贸港建设的哲学思维与文化支撑</w:t>
      </w:r>
      <w:bookmarkEnd w:id="19"/>
    </w:p>
    <w:p w14:paraId="5C8431D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海南自贸港建设的科学思路，结合海南生态保护、文化传承、开放包容等情境，考查文化自信、社会主义核心价值观、文化与经济政治的关系等知识，说明文化对自贸港建设的支撑作用。</w:t>
      </w:r>
    </w:p>
    <w:p w14:paraId="68FF410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矛盾普遍性与特殊性、两点论与重点论，分析自贸港建设与国家开放大局、生态保护与经济发展的关系）；历史唯物主义（社会存在与社会意识的辩证关系、价值观的导向作用、人民群众是历史的创造者，解读自贸港建设的动力与价值导向）；文化与经济政治相互影响、相互交融（文化赋能产业发展、提升开放软实力）；社会主义核心价值观（培育开放包容、创新奋斗的精神，凝聚建设合力）；文化自信（传承海南本土文化、融合多元文化，彰显中国文化软实力）。</w:t>
      </w:r>
    </w:p>
    <w:p w14:paraId="2162927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455E61C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聚焦核心逻辑</w:t>
      </w:r>
      <w:r>
        <w:rPr>
          <w:rFonts w:ascii="宋体" w:eastAsia="宋体" w:hAnsi="宋体" w:cs="宋体" w:hint="eastAsia"/>
          <w:b/>
          <w:bCs/>
          <w:sz w:val="21"/>
          <w:szCs w:val="21"/>
          <w:lang w:val="en-US" w:eastAsia="zh-CN"/>
        </w:rPr>
        <w:t>:</w:t>
      </w:r>
      <w:r>
        <w:rPr>
          <w:rFonts w:ascii="宋体" w:eastAsia="宋体" w:hAnsi="宋体" w:cs="宋体" w:hint="eastAsia"/>
          <w:sz w:val="21"/>
          <w:szCs w:val="21"/>
        </w:rPr>
        <w:t>吃透“政策创新—开放实践—高质量发展”关联，掌握自贸港关键时政术语。</w:t>
      </w:r>
    </w:p>
    <w:p w14:paraId="25847E5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val="en-US" w:eastAsia="zh-CN"/>
        </w:rPr>
        <w:t>:</w:t>
      </w:r>
      <w:r>
        <w:rPr>
          <w:rFonts w:ascii="宋体" w:eastAsia="宋体" w:hAnsi="宋体" w:cs="宋体" w:hint="eastAsia"/>
          <w:sz w:val="21"/>
          <w:szCs w:val="21"/>
        </w:rPr>
        <w:t>构建“政治保障—经济实践—制度优势—哲学支撑”跨模块知识体系。</w:t>
      </w:r>
    </w:p>
    <w:p w14:paraId="643B0835">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val="en-US" w:eastAsia="zh-CN"/>
        </w:rPr>
        <w:t>:</w:t>
      </w:r>
      <w:r>
        <w:rPr>
          <w:rFonts w:ascii="宋体" w:eastAsia="宋体" w:hAnsi="宋体" w:cs="宋体" w:hint="eastAsia"/>
          <w:sz w:val="21"/>
          <w:szCs w:val="21"/>
        </w:rPr>
        <w:t>重点突破意义类、措施类主观题，提升材料与原理的对接精准度。</w:t>
      </w:r>
    </w:p>
    <w:p w14:paraId="228CB40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关注实践动态</w:t>
      </w:r>
      <w:r>
        <w:rPr>
          <w:rFonts w:ascii="宋体" w:eastAsia="宋体" w:hAnsi="宋体" w:cs="宋体" w:hint="eastAsia"/>
          <w:b/>
          <w:bCs/>
          <w:sz w:val="21"/>
          <w:szCs w:val="21"/>
          <w:lang w:val="en-US" w:eastAsia="zh-CN"/>
        </w:rPr>
        <w:t>:</w:t>
      </w:r>
      <w:r>
        <w:rPr>
          <w:rFonts w:ascii="宋体" w:eastAsia="宋体" w:hAnsi="宋体" w:cs="宋体" w:hint="eastAsia"/>
          <w:sz w:val="21"/>
          <w:szCs w:val="21"/>
        </w:rPr>
        <w:t>对接自贸港封关准备、跨境合作等热点，增强备考针对性。</w:t>
      </w:r>
    </w:p>
    <w:p w14:paraId="1CE60F0C">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171" name="组合 171"/>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72"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3"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4"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69" style="width:16pt;height:22.05pt" coordorigin="6081,38224" coordsize="389,536">
                <o:lock v:ext="edit" aspectratio="f"/>
                <v:roundrect id="圆角矩形 13" o:spid="_x0000_s1070" style="width:113;height:340;flip:x;left:6358;position:absolute;rotation:13;top:38413;v-text-anchor:middle" arcsize="10923f" coordsize="21600,21600" filled="t" fillcolor="#7ddfd7" stroked="f">
                  <v:stroke joinstyle="miter"/>
                  <o:lock v:ext="edit" aspectratio="f"/>
                </v:roundrect>
                <v:roundrect id="矩形 16" o:spid="_x0000_s1071" style="width:113;height:412;flip:x;left:6225;position:absolute;rotation:8;top:38343;v-text-anchor:middle" arcsize="10923f" coordsize="21600,21600" filled="t" fillcolor="#c81d31" stroked="f">
                  <v:stroke joinstyle="miter"/>
                  <o:lock v:ext="edit" aspectratio="f"/>
                </v:roundrect>
                <v:roundrect id="圆角矩形 14" o:spid="_x0000_s107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75E0072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考向一：政治与法治</w:t>
      </w:r>
    </w:p>
    <w:p w14:paraId="0496F08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设问1：结合材料，运用相关知识，说明中国共产党在海南自贸港建设中的领导作用。</w:t>
      </w:r>
    </w:p>
    <w:p w14:paraId="1FE6092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052413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①发挥党总揽全局、协调各方的领导核心作用，为海南自贸港建设作出顶层设计，明确“三区一中心”战略定位和发展方向，统筹推进封关运作准备工作。</w:t>
      </w:r>
    </w:p>
    <w:p w14:paraId="3D22179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②坚持科学执政、民主执政、依法执政，立足海南自贸港建设实际，制定科学合理的政策部署，凝聚全国各族人民共识，推动各项开放政策落地见效。</w:t>
      </w:r>
    </w:p>
    <w:p w14:paraId="27440CB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③加强党的建设，发挥党员先锋模范作用，引领科研工作者、企业投身自贸港建设，为自贸港建设提供组织保障和精神动力。</w:t>
      </w:r>
    </w:p>
    <w:p w14:paraId="55C1AD3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设问2：运用相关知识，分析我国政府在海南自贸港建设中如何提升治理效能、优化营商环境。</w:t>
      </w:r>
    </w:p>
    <w:p w14:paraId="218A4EA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372A8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①履行经济建设、社会建设、生态文明建设职能，推动产业发展、完善基础设施、保护生态环境，为自贸港建设筑牢基础。</w:t>
      </w:r>
    </w:p>
    <w:p w14:paraId="4E37D40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②坚持依法行政，完善自贸港相关法律法规，规范市场秩序，简化审批流程，推行“一网通办”，提升政务服务效率。</w:t>
      </w:r>
    </w:p>
    <w:p w14:paraId="617DB72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③坚持科学决策、民主决策、依法决策，广泛听取群众、企业意见，优化政策举措，自觉接受人大监督、社会监督，规范行政行为，提升政府公信力。</w:t>
      </w:r>
    </w:p>
    <w:p w14:paraId="6BB13C7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考向二：经济与社会</w:t>
      </w:r>
    </w:p>
    <w:p w14:paraId="0C98868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设问1：结合材料，运用相关知识，说明海南自贸港应如何通过深化开放培育新质生产力、推动高质量发展。</w:t>
      </w:r>
    </w:p>
    <w:p w14:paraId="7D9A92C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2691C8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①深化制度型开放，完善“零关税、低税率、简税制”政策体系，扩大服务业对外开放，推动贸易投资自由化便利化，激发市场主体活力。</w:t>
      </w:r>
    </w:p>
    <w:p w14:paraId="2524C64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②坚持创新驱动发展战略，培育高新技术产业、数字贸易、离岸金融等新业态，推动产业转型升级，完善现代化经济体系，筑牢高质量发展的产业支撑。</w:t>
      </w:r>
    </w:p>
    <w:p w14:paraId="7B682F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③完善数字基础设施建设，加强与RCEP成员国的经贸合作，搭建跨境合作平台，畅通国内国际双循环，为高质量发展注入开放动力。</w:t>
      </w:r>
    </w:p>
    <w:p w14:paraId="2DF6754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④坚持绿色发展理念，推动经济发展与生态保护协同推进，培育绿色产业，实现高质量发展与可持续发展有机统一。</w:t>
      </w:r>
    </w:p>
    <w:p w14:paraId="64CF1BF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设问2：运用相关知识，分析海南自贸港建设对推动我国高水平对外开放、构建新发展格局的重要作用。</w:t>
      </w:r>
    </w:p>
    <w:p w14:paraId="6D1B1A2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22BEC99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①海南自贸港作为我国对外开放的战略前沿，深化制度创新，完善开放政策体系，为我国高水平对外开放提供试点经验和示范引领。</w:t>
      </w:r>
    </w:p>
    <w:p w14:paraId="77A9413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②扩大服务业开放、推动跨境贸易和投资便利化，吸引全球资本、技术、人才集聚，提升我国开放型经济水平，推动国内市场与国际市场深度融合。</w:t>
      </w:r>
    </w:p>
    <w:p w14:paraId="1C02EDF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③加强与东盟、RCEP成员国的经贸合作，搭建跨境合作平台，畅通国际循环，同时带动国内区域协调发展，畅通国内循环，助力构建新发展格局。</w:t>
      </w:r>
    </w:p>
    <w:p w14:paraId="3EA3408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考向三：中国特色社会主义</w:t>
      </w:r>
    </w:p>
    <w:p w14:paraId="6F66F46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设问1：结合材料，运用相关知识，说明海南自贸港建设如何彰显中国特色社会主义制度的显著优势。</w:t>
      </w:r>
    </w:p>
    <w:p w14:paraId="124F888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97D2B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①彰显党的领导的显著优势，党总揽全局、协调各方，为自贸港建设提供顶层设计和方向指引，体现党的领导是中国特色社会主义最本质的特征。</w:t>
      </w:r>
    </w:p>
    <w:p w14:paraId="4EE7515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②彰显集中力量办大事的制度优势，我国集中资源推进自贸港封关运作、基础设施建设、核心产业培育，破解发展难题，展现社会主义制度的强大动员能力。</w:t>
      </w:r>
    </w:p>
    <w:p w14:paraId="1BFFB17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③彰显以人民为中心的制度优势，自贸港建设聚焦共同富裕，带动城乡融合发展、居民增收，让开放成果更多更公平惠及全体人民，体现社会主义的价值追求。</w:t>
      </w:r>
    </w:p>
    <w:p w14:paraId="0276257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④彰显改革创新、对外开放的制度优势，通过深化制度创新、扩大对外开放，激发市场活力，推动自贸港高质量发展，展现中国开放的决心和底气。</w:t>
      </w:r>
    </w:p>
    <w:p w14:paraId="35395A3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设问2：运用相关知识，说明海南自贸港建设与中国式现代化的内在联系。</w:t>
      </w:r>
    </w:p>
    <w:p w14:paraId="4058FF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64F00B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①海南自贸港建设是推进中国式现代化的重要实践，能够推动高水平对外开放、高质量发展、共同富裕、绿色发展，契合中国式现代化的核心要求，为中国式现代化注入强劲动力。</w:t>
      </w:r>
    </w:p>
    <w:p w14:paraId="478AC6E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②中国式现代化为海南自贸港建设提供方向指引和制度保障，中国式现代化“对外开放、共同富裕、人与自然和谐共生”的特征，推动自贸港建设朝着正确方向发展。</w:t>
      </w:r>
    </w:p>
    <w:p w14:paraId="604750C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海南自贸港建设能够破解区域发展不平衡、开放不足等问题，推动中国式现代化向纵深发展；中国式现代化的推进又能为自贸港建设创造更好的发展环境，助力自贸港实现高质量发展。</w:t>
      </w:r>
    </w:p>
    <w:p w14:paraId="49EE03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考向四：哲学与文化</w:t>
      </w:r>
    </w:p>
    <w:p w14:paraId="27F9F63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设问1：运用唯物辩证法知识，分析我国推进海南自贸港建设的科学思路。</w:t>
      </w:r>
    </w:p>
    <w:p w14:paraId="3030401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6E9FF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①坚持整体与部分的辩证统一，立足国家对外开放全局，统筹海南自贸港与全国发展的关系，实现全局与局部的有机统一，推动协同发展。</w:t>
      </w:r>
    </w:p>
    <w:p w14:paraId="4D237AF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②坚持矛盾普遍性与特殊性的辩证统一，立足国家开放发展的共性要求，结合海南区位、生态、政策优势，因地制宜培育特色产业，实现顶层设计与基层实践的有机结合。</w:t>
      </w:r>
    </w:p>
    <w:p w14:paraId="0AB2E0F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③坚持两点论与重点论的统一，既要统筹制度创新、产业发展、生态保护等各个方面，又要聚焦封关运作、核心技术突破等关键任务，实现重点突破、整体推进。</w:t>
      </w:r>
    </w:p>
    <w:p w14:paraId="73ECFC2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④坚持系统优化方法，围绕“三区一中心”战略定位，统筹政策、产业、人才、生态等多个要素，注重各要素协同作用，形成自贸港建设的强大合力。</w:t>
      </w:r>
    </w:p>
    <w:p w14:paraId="05C031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设问2：运用相关知识，说明如何通过文化创新为海南自贸港建设提供支撑。</w:t>
      </w:r>
    </w:p>
    <w:p w14:paraId="29CE078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DA1386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①立足海南自贸港开放发展实践，培育开放包容、创新奋斗的自贸港精神，推动文化与经济、政治深度融合，为自贸港建设注入精神动力。</w:t>
      </w:r>
    </w:p>
    <w:p w14:paraId="59B3267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②传承中华优秀传统文化（海南本土文化、黎苗民族文化），结合新时代自贸港建设需求，推动传统文化创造性转化、创新性发展，增强文化自信。</w:t>
      </w:r>
    </w:p>
    <w:p w14:paraId="45D8512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③加强国际文化交流合作，吸收借鉴国际先进文化成果，推动文化创新，提升海南自贸港文化软实力，助力高水平对外开放。</w:t>
      </w:r>
    </w:p>
    <w:p w14:paraId="38A3BC1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④加强科普宣传，提升全民科学文化素养，培育创新意识和创新能力，为自贸港建设提供人才支撑和良好文化环境。</w:t>
      </w:r>
    </w:p>
    <w:p w14:paraId="2A3F2C33">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175" name="组合 175"/>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76"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7"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78"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73" style="width:16pt;height:22.05pt" coordorigin="6081,38224" coordsize="389,536">
                <o:lock v:ext="edit" aspectratio="f"/>
                <v:roundrect id="圆角矩形 13" o:spid="_x0000_s1074" style="width:113;height:340;flip:x;left:6358;position:absolute;rotation:13;top:38413;v-text-anchor:middle" arcsize="10923f" coordsize="21600,21600" filled="t" fillcolor="#2e54a1" stroked="f">
                  <v:stroke joinstyle="miter"/>
                  <o:lock v:ext="edit" aspectratio="f"/>
                </v:roundrect>
                <v:roundrect id="矩形 16" o:spid="_x0000_s1075" style="width:113;height:412;flip:x;left:6225;position:absolute;rotation:8;top:38343;v-text-anchor:middle" arcsize="10923f" coordsize="21600,21600" filled="t" fillcolor="#c81d31" stroked="f">
                  <v:stroke joinstyle="miter"/>
                  <o:lock v:ext="edit" aspectratio="f"/>
                </v:roundrect>
                <v:roundrect id="圆角矩形 14" o:spid="_x0000_s107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726727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考向一：政治与法治——海南自贸港建设的政治保障与治理效能</w:t>
      </w:r>
    </w:p>
    <w:p w14:paraId="09D0FFB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党中央统筹全局，明确海南自贸港封关运作的时间表和路线图，推动各项开放政策落地见效；海南省人大出台《海南自由贸易港促进条例》，完善法治保障；省政府优化政务服务，推行“一网通办”，提升治理效能；政协委员围绕“自贸港人才引育”“生态保护”等议题积极建言献策。这体现了我国（ ）</w:t>
      </w:r>
    </w:p>
    <w:p w14:paraId="483F4A8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①党的领导是自贸港建设的根本保证 ②政府坚持依法行政，建设服务型政府</w:t>
      </w:r>
    </w:p>
    <w:p w14:paraId="131E77C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③人大行使决定权，完善制度保障 ④全过程人民民主为自贸港建设提供智力支持</w:t>
      </w:r>
    </w:p>
    <w:p w14:paraId="7653B29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2FAD563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我国坚持党的领导，推进海南自贸港建设，一方面，党中央出台顶层设计，明确“三区一中心”战略定位，统筹推进封关运作准备工作；另一方面，海南省各级政府坚持依法行政，完善政务服务体系，优化营商环境，规范市场秩序，自觉接受人大监督、社会监督；同时，畅通民主渠道，鼓励群众、企业参与自贸港建设建言献策，推动治理效能持续提升。</w:t>
      </w:r>
    </w:p>
    <w:p w14:paraId="3C46D4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结合材料，运用《政治与法治》知识，说明我国如何通过政治保障推动海南自贸港高质量发展。</w:t>
      </w:r>
    </w:p>
    <w:p w14:paraId="5E9DF3C1">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bookmarkStart w:id="20" w:name="heading_11"/>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92" name="图片 19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19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0BA76C6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769620"/>
                <wp:effectExtent l="6350" t="6350" r="22225" b="24130"/>
                <wp:docPr id="193" name="文本框 19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76962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r>
                              <w:rPr>
                                <w:rFonts w:ascii="宋体" w:eastAsia="宋体" w:hAnsi="宋体" w:cs="宋体" w:hint="eastAsia"/>
                                <w:sz w:val="21"/>
                                <w:szCs w:val="21"/>
                              </w:rPr>
                              <w:t>措施类主观题，先梳理材料中的政治主体，明确“党—政府—民主—监督”的逻辑主线；答题时突出“政治保障”，避免泛谈经济举措，每点均对应具体政治主体和职权，使用“坚持、完善、履行、强化”等规范动词，确保术语准确，贴合自贸港建设情境。</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77" style="width:489.75pt;height:60.6pt" arcsize="5680f" coordsize="21600,21600" filled="t" fillcolor="#fce6d5" stroked="t" strokecolor="#249087">
                <v:fill opacity="26214f"/>
                <v:stroke joinstyle="round" dashstyle="longDashDotDot"/>
                <o:lock v:ext="edit" aspectratio="f"/>
                <v:textbox>
                  <w:txbxContent>
                    <w:p w14:paraId="18651AE7">
                      <w:r>
                        <w:rPr>
                          <w:rFonts w:ascii="宋体" w:eastAsia="宋体" w:hAnsi="宋体" w:cs="宋体" w:hint="eastAsia"/>
                          <w:sz w:val="21"/>
                          <w:szCs w:val="21"/>
                        </w:rPr>
                        <w:t>措施类主观题，先梳理材料中的政治主体，明确“党—政府—民主—监督”的逻辑主线；答题时突出“政治保障”，避免泛谈经济举措，每点均对应具体政治主体和职权，使用“坚持、完善、履行、强化”等规范动词，确保术语准确，贴合自贸港建设情境。</w:t>
                      </w:r>
                    </w:p>
                  </w:txbxContent>
                </v:textbox>
                <w10:anchorlock/>
              </v:roundrect>
            </w:pict>
          </mc:Fallback>
        </mc:AlternateContent>
      </w:r>
      <w:r>
        <w:rPr>
          <w:rFonts w:ascii="宋体" w:eastAsia="宋体" w:hAnsi="宋体" w:cs="宋体" w:hint="eastAsia"/>
          <w:b/>
          <w:color w:val="0070C0"/>
          <w:sz w:val="21"/>
          <w:szCs w:val="21"/>
        </w:rPr>
        <w:t>考向二：经济与社会——海南自贸港的开放实践与高质量发展</w:t>
      </w:r>
      <w:bookmarkEnd w:id="20"/>
    </w:p>
    <w:p w14:paraId="73D5F52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海南自贸港持续深化“零关税、低税率、简税制”政策，扩大服务业对外开放，推动跨境电商、离岸金融等新业态发展，培育高新技术产业集群，同时加强数字基础设施建设，推动与RCEP成员国的经贸合作。这些举措对推动高质量发展的作用是（ ）</w:t>
      </w:r>
    </w:p>
    <w:p w14:paraId="5F107B4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①推动产业升级，完善现代化经济体系 ②扩大对外开放，激发市场主体活力</w:t>
      </w:r>
    </w:p>
    <w:p w14:paraId="74BD2AC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③优化资源配置，降低市场主体成本 ④规避国际竞争，增强经济发展韧性</w:t>
      </w:r>
    </w:p>
    <w:p w14:paraId="750603A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3668689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海南自贸港依托政策优势，取得显著发展成效：“零关税”商品清单持续扩容，累计免税商品销售额同比增长35%；跨境电商、数字贸易等新业态快速发展，带动外贸进出口总额同比增长28%；高新技术产业投资同比增长42%，培育出一批具有核心竞争力的企业；同时，推动城乡融合发展，带动农村居民人均可支配收入同比增长12%，让自贸港发展成果更多更公平惠及全体人民。</w:t>
      </w:r>
    </w:p>
    <w:p w14:paraId="3F45D48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楷体" w:eastAsia="楷体" w:hAnsi="楷体" w:cs="楷体" w:hint="eastAsia"/>
          <w:sz w:val="21"/>
          <w:szCs w:val="21"/>
        </w:rPr>
        <w:t>结合材料，运用《经济与社会》知识，分析海南自贸港建设对推动高质量发展、实现共同富裕的作用。</w:t>
      </w:r>
    </w:p>
    <w:p w14:paraId="11BBB930">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bookmarkStart w:id="21" w:name="heading_14"/>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90" name="图片 190"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190"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23E46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359535"/>
                <wp:effectExtent l="6350" t="6350" r="22225" b="24765"/>
                <wp:docPr id="191" name="文本框 191"/>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3595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数据和成效，再对接高质量发展（开放、创新、产业升级）、共同富裕（增收、缩小差距）的核心要求，避免泛谈；答题时突出“自贸港政策优势”，使用“推动、培育、优化、带动”等动词，结合材料数据，增强答案的针对性和说服力。</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78" style="width:489.75pt;height:107.05pt" arcsize="5680f" coordsize="21600,21600" filled="t" fillcolor="#fce6d5" stroked="t" strokecolor="#249087">
                <v:fill opacity="26214f"/>
                <v:stroke joinstyle="round" dashstyle="longDashDotDot"/>
                <o:lock v:ext="edit" aspectratio="f"/>
                <v:textbox>
                  <w:txbxContent>
                    <w:p w14:paraId="0E7E17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成效→原理→作用”的思路，先提取材料中的具体数据和成效，再对接高质量发展（开放、创新、产业升级）、共同富裕（增收、缩小差距）的核心要求，避免泛谈；答题时突出“自贸港政策优势”，使用“推动、培育、优化、带动”等动词，结合材料数据，增强答案的针对性和说服力。</w:t>
                      </w:r>
                    </w:p>
                    <w:p w14:paraId="3741D6C8"/>
                  </w:txbxContent>
                </v:textbox>
                <w10:anchorlock/>
              </v:roundrect>
            </w:pict>
          </mc:Fallback>
        </mc:AlternateContent>
      </w:r>
      <w:r>
        <w:rPr>
          <w:rFonts w:ascii="宋体" w:eastAsia="宋体" w:hAnsi="宋体" w:cs="宋体" w:hint="eastAsia"/>
          <w:b/>
          <w:color w:val="0070C0"/>
          <w:sz w:val="21"/>
          <w:szCs w:val="21"/>
        </w:rPr>
        <w:t>考向三：中国特色社会主义——海南自贸港与中国式现代化的推进</w:t>
      </w:r>
      <w:bookmarkEnd w:id="21"/>
    </w:p>
    <w:p w14:paraId="69D10C4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海南自贸港立足“三区一中心”战略定位，持续深化制度创新，推动高水平对外开放，既注重经济发展，又坚守生态底线，推动绿色低碳发展，让自贸港发展成果更多更公平惠及全体人民。这表明海南自贸港建设（ ）</w:t>
      </w:r>
    </w:p>
    <w:p w14:paraId="01BD993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①是推进中国式现代化的重要实践 ②契合中国式现代化的所有特征</w:t>
      </w:r>
    </w:p>
    <w:p w14:paraId="34FA3DD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③彰显中国特色社会主义制度的优越性 ④是实现民族复兴的唯一路径</w:t>
      </w:r>
    </w:p>
    <w:p w14:paraId="12AA2FF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4CC4AC7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海南自贸港建设进入关键阶段，一方面，持续深化制度创新，完善“零关税、低税率、简税制”政策体系，推动高水平对外开放，对接全球经济治理，展现中国开放决心；另一方面，坚守生态底线，推动绿色低碳发展，培育绿色产业，同时带动城乡融合发展，缩小区域、城乡差距，践行共同富裕理念，彰显中国特色社会主义制度的独特优势，为中国式现代化注入强劲动力。</w:t>
      </w:r>
    </w:p>
    <w:p w14:paraId="7D1194C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结合材料，运用《中国特色社会主义》知识，说明海南自贸港建设对推进中国式现代化的意义。</w:t>
      </w:r>
    </w:p>
    <w:p w14:paraId="62EBE357">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bookmarkStart w:id="22" w:name="heading_17"/>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88" name="图片 188"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188"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0CA586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189" name="文本框 189"/>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自贸港建设的举措与这些特征一一对应，每点均突出“对中国式现代化的具体意义”，避免脱离中国式现代化泛谈作用；答题时术语规范，体现中国特色社会主义制度优势，增强政治站位，避免绝对化表述。</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79" style="width:489.75pt;height:80.05pt" arcsize="5680f" coordsize="21600,21600" filled="t" fillcolor="#fce6d5" stroked="t" strokecolor="#249087">
                <v:fill opacity="26214f"/>
                <v:stroke joinstyle="round" dashstyle="longDashDotDot"/>
                <o:lock v:ext="edit" aspectratio="f"/>
                <v:textbox>
                  <w:txbxContent>
                    <w:p w14:paraId="3C5BF8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自贸港建设的举措与这些特征一一对应，每点均突出“对中国式现代化的具体意义”，避免脱离中国式现代化泛谈作用；答题时术语规范，体现中国特色社会主义制度优势，增强政治站位，避免绝对化表述。</w:t>
                      </w:r>
                    </w:p>
                    <w:p w14:paraId="7F8B84FD"/>
                  </w:txbxContent>
                </v:textbox>
                <w10:anchorlock/>
              </v:roundrect>
            </w:pict>
          </mc:Fallback>
        </mc:AlternateContent>
      </w:r>
      <w:r>
        <w:rPr>
          <w:rFonts w:ascii="宋体" w:eastAsia="宋体" w:hAnsi="宋体" w:cs="宋体" w:hint="eastAsia"/>
          <w:b/>
          <w:color w:val="0070C0"/>
          <w:sz w:val="21"/>
          <w:szCs w:val="21"/>
        </w:rPr>
        <w:t>考向四：哲学与文化——海南自贸港建设的哲学思维与文化支撑</w:t>
      </w:r>
      <w:bookmarkEnd w:id="22"/>
    </w:p>
    <w:p w14:paraId="6DB26B1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w:t>
      </w:r>
      <w:r>
        <w:rPr>
          <w:rFonts w:ascii="宋体" w:eastAsia="宋体" w:hAnsi="宋体" w:cs="宋体" w:hint="eastAsia"/>
          <w:b/>
          <w:sz w:val="21"/>
          <w:szCs w:val="21"/>
        </w:rPr>
        <w:t>1</w:t>
      </w:r>
      <w:r>
        <w:rPr>
          <w:rFonts w:ascii="宋体" w:eastAsia="宋体" w:hAnsi="宋体" w:cs="宋体" w:hint="eastAsia"/>
          <w:b/>
          <w:sz w:val="21"/>
          <w:szCs w:val="21"/>
          <w:lang w:eastAsia="zh-CN"/>
        </w:rPr>
        <w:t>：</w:t>
      </w:r>
      <w:r>
        <w:rPr>
          <w:rFonts w:ascii="宋体" w:eastAsia="宋体" w:hAnsi="宋体" w:cs="宋体" w:hint="eastAsia"/>
          <w:sz w:val="21"/>
          <w:szCs w:val="21"/>
        </w:rPr>
        <w:t>2026年，我国推进海南自贸港建设，既立足国家对外开放全局，统筹自贸港与全国发展的关系，又结合海南区位、生态、政策优势，因地制宜培育特色产业；既注重制度创新突破，又坚守生态底线，推动经济发展与生态保护协同推进。这体现的唯物辩证法道理是（ ）</w:t>
      </w:r>
    </w:p>
    <w:p w14:paraId="2CC6477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 ②坚持矛盾普遍性与特殊性的统一</w:t>
      </w:r>
    </w:p>
    <w:p w14:paraId="55BDAFA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③坚持两点论与重点论的统一 ④坚持量变与质变的辩证统一</w:t>
      </w:r>
    </w:p>
    <w:p w14:paraId="54F5686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344C5B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宋体" w:eastAsia="宋体" w:hAnsi="宋体" w:cs="宋体" w:hint="eastAsia"/>
          <w:b/>
          <w:sz w:val="21"/>
          <w:szCs w:val="21"/>
          <w:lang w:eastAsia="zh-CN"/>
        </w:rPr>
        <w:t>：</w:t>
      </w:r>
      <w:r>
        <w:rPr>
          <w:rFonts w:ascii="楷体" w:eastAsia="楷体" w:hAnsi="楷体" w:cs="楷体" w:hint="eastAsia"/>
          <w:sz w:val="21"/>
          <w:szCs w:val="21"/>
        </w:rPr>
        <w:t>材料：2026年，海南自贸港在建设过程中，注重文化建设，传承海南本土传统文化、黎苗民族文化，结合开放发展实践，培育开放包容、创新奋斗的自贸港精神；加强科普宣传，提升全民科学文化素养，培育创新人才；同时，加强国际文化交流合作，吸收借鉴国际先进文化成果，推动文化创新，为自贸港建设提供强大精神支撑。</w:t>
      </w:r>
    </w:p>
    <w:p w14:paraId="050AAD6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结合材料，运用《哲学与文化》知识，说明文化建设对海南自贸港建设的支撑作用。</w:t>
      </w:r>
    </w:p>
    <w:p w14:paraId="147D58BB">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185" name="图片 185"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85"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0284CCCF">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2"/>
        </w:rPr>
        <mc:AlternateContent>
          <mc:Choice Requires="wps">
            <w:drawing>
              <wp:inline distT="0" distB="0" distL="114300" distR="114300">
                <wp:extent cx="6219825" cy="1016635"/>
                <wp:effectExtent l="6350" t="6350" r="22225" b="24765"/>
                <wp:docPr id="186" name="文本框 186"/>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自贸港开放、创新的情境，每点均体现“文化→自贸港建设”的逻辑，避免泛谈文化作用，确保贴合题意。</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80" style="width:489.75pt;height:80.05pt" arcsize="5680f" coordsize="21600,21600" filled="t" fillcolor="#fce6d5" stroked="t" strokecolor="#249087">
                <v:fill opacity="26214f"/>
                <v:stroke joinstyle="round" dashstyle="longDashDotDot"/>
                <o:lock v:ext="edit" aspectratio="f"/>
                <v:textbox>
                  <w:txbxContent>
                    <w:p w14:paraId="269DDF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哲学+文化），先明确两个知识角度，避免遗漏；哲学角度优先对接与“精神、文化”相关的原理（社会意识、价值观），文化角度紧扣“文化支撑”的核心，结合自贸港开放、创新的情境，每点均体现“文化→自贸港建设”的逻辑，避免泛谈文化作用，确保贴合题意。</w:t>
                      </w:r>
                    </w:p>
                    <w:p w14:paraId="5FE780BB"/>
                  </w:txbxContent>
                </v:textbox>
                <w10:anchorlock/>
              </v:roundrect>
            </w:pict>
          </mc:Fallback>
        </mc:AlternateContent>
      </w:r>
      <w:r>
        <w:rPr>
          <w:sz w:val="28"/>
        </w:rPr>
        <mc:AlternateContent>
          <mc:Choice Requires="wpg">
            <w:drawing>
              <wp:inline distT="0" distB="0" distL="114300" distR="114300">
                <wp:extent cx="203200" cy="280035"/>
                <wp:effectExtent l="0" t="0" r="25400" b="5715"/>
                <wp:docPr id="42" name="组合 42"/>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43"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44"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45"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81" style="width:16pt;height:22.05pt" coordorigin="6081,38224" coordsize="389,536">
                <o:lock v:ext="edit" aspectratio="f"/>
                <v:roundrect id="圆角矩形 13" o:spid="_x0000_s1082" style="width:113;height:340;flip:x;left:6358;position:absolute;rotation:13;top:38413;v-text-anchor:middle" arcsize="10923f" coordsize="21600,21600" filled="t" fillcolor="#7ddfd7" stroked="f">
                  <v:stroke joinstyle="miter"/>
                  <o:lock v:ext="edit" aspectratio="f"/>
                </v:roundrect>
                <v:roundrect id="矩形 16" o:spid="_x0000_s1083" style="width:113;height:412;flip:x;left:6225;position:absolute;rotation:8;top:38343;v-text-anchor:middle" arcsize="10923f" coordsize="21600,21600" filled="t" fillcolor="#c81d31" stroked="f">
                  <v:stroke joinstyle="miter"/>
                  <o:lock v:ext="edit" aspectratio="f"/>
                </v:roundrect>
                <v:roundrect id="圆角矩形 14" o:spid="_x0000_s108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0F95BAC1">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55B4B06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高水平对外开放巩固了我国作为货物贸易第一大国地位。我国在金融、航运、专业服务等领域新增多条跨境服务贸易通道，同时高标准推进自贸试验区、海南自贸港建设。2024年我国货物贸易达6.16万亿美元，连续8年全球第一，服务贸易首破1万亿美元。我国坚定不移推进高水平对外开放是基于开放（</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FF6AEA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①能增强国内国际两个市场联动效应，畅通双循环</w:t>
      </w:r>
    </w:p>
    <w:p w14:paraId="6E652E9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②可降低国际贸易成本，消除全球经济发展不平衡</w:t>
      </w:r>
    </w:p>
    <w:p w14:paraId="4433022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③能更好发挥比较优势，促进合作与共赢</w:t>
      </w:r>
    </w:p>
    <w:p w14:paraId="4E19426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④能降低国际市场竞争风险，保障外资企业盈利</w:t>
      </w:r>
    </w:p>
    <w:p w14:paraId="68FA9DBD">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56946A4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2025年12月18日，海南自由贸易港全岛封关运作正式启动。政策明确“封关不是封岛”，而是通过“一线（海南自贸港与境外国家和地区的边界）放开，零关税商品税目（如日化用品类、自用生产设备类等）比例从21%提升至74%，二线（海南自贸港与内地之间的边界）管住、岛内自由”的监管模式，将海南全岛设为海关监管特殊区域。由此可知，该政策的意义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46EDA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①推动双边贸易的发展，提高对外开放水平</w:t>
      </w:r>
    </w:p>
    <w:p w14:paraId="1440759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②降低企业制度性交易成本，赋能企业成长</w:t>
      </w:r>
    </w:p>
    <w:p w14:paraId="3E771C2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③实现商品自由流通，推动生产全球化发展</w:t>
      </w:r>
    </w:p>
    <w:p w14:paraId="533B74B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④增进民生发展福祉，提升群众的消费体验</w:t>
      </w:r>
    </w:p>
    <w:p w14:paraId="0AF2BBFD">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694DA4A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海南自贸港实行“一线放开、二线管住、岛内自由”：推出一系列自由便利举措，扩大规则、管理、标准等开放；加工增值超30%的货物免征关税进入内地，鼓励企业在海南开展高附加值加工制造；零关税货物可在岛内自由流转、交易。这些举措（</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FC38C9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①通过制度型开放，更好联通国内国际两个市场</w:t>
      </w:r>
    </w:p>
    <w:p w14:paraId="2CBD30B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②释放政策红利，推动中国与各国经济均衡发展</w:t>
      </w:r>
    </w:p>
    <w:p w14:paraId="2364AFE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③深化区域经济一体化，推动经济全球化深入发展</w:t>
      </w:r>
    </w:p>
    <w:p w14:paraId="0F9E6EC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④吸引生产要素和市场主体聚集，培育新质生产力</w:t>
      </w:r>
    </w:p>
    <w:p w14:paraId="5CA4014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340A4E6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2025年12月，海南自由贸易港正式启动全岛封关运作，以“一线放开、二线管住、岛内自由”为核心的制度型开放全面落地。封关满月，海南跨境服务贸易对外开放口岸进出口总值163.68亿元，开展加工增值免关税业务货值8589.68万元。这表明海南自贸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9C1F29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①持续推进制度型开放，打造高水平对外开放新高地</w:t>
      </w:r>
    </w:p>
    <w:p w14:paraId="4DE7905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②创新自贸港监管模式，实现开放与安全的动态平衡</w:t>
      </w:r>
    </w:p>
    <w:p w14:paraId="5E0A3C2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③主导经济全球化进程，推动全要素资源高效化配置</w:t>
      </w:r>
    </w:p>
    <w:p w14:paraId="73AEDCE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④突破国际经贸旧规则，构建全球经济治理的新体系</w:t>
      </w:r>
    </w:p>
    <w:p w14:paraId="3DB095DF">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3B1676F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正式启动海南自贸港建设的第一个5年，海南实际使用外资1025亿元，不仅实现了年均14.6%的增长，更创下了5年吸引外资超之前32年总和的成绩。未来，只要持续用好“政策+改革”这把金钥匙，海南就能在封关后继续跑出“加速度”。材料中对海南发展的分析表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714B03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①政策的制定对发展成效起决定作用</w:t>
      </w:r>
    </w:p>
    <w:p w14:paraId="358ECB5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②量的积累能够为事物的发展创造条件</w:t>
      </w:r>
    </w:p>
    <w:p w14:paraId="1D73D6D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③经济发展客观规律会制约发展状况</w:t>
      </w:r>
    </w:p>
    <w:p w14:paraId="1FED2C0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④实践的成功需要正确运用矛盾分析法</w:t>
      </w:r>
    </w:p>
    <w:p w14:paraId="7B659478">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020B7D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2026年3月，博鳌亚洲论坛召开，涉外法治、跨境纠纷成为议题。中国公民王某在海南自贸港与新加坡商人A签订货物买卖合同，约定适用中国法律，争议由海南国际仲裁院仲裁。A逾期未交货，王某申请仲裁，A主张新加坡法院管辖更合理。下列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99CD18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①双方约定适用中国法律有效，仲裁协议合法有效，A无权单方变更</w:t>
      </w:r>
    </w:p>
    <w:p w14:paraId="462DA53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②涉外合同只能适用合同签订地法律，约定中国法律无效</w:t>
      </w:r>
    </w:p>
    <w:p w14:paraId="3858E14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③海南国际仲裁院裁决具有涉外效力，可向新加坡法院申请承认执行</w:t>
      </w:r>
    </w:p>
    <w:p w14:paraId="5973C9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④涉外仲裁裁决实行两裁终局，A对裁决不服可向上级仲裁机构申请复议</w:t>
      </w:r>
    </w:p>
    <w:p w14:paraId="315A0F00">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09A4FBB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历史总是选择相似的刻度，来标记不同的时代。1978年12月18日，党的十一届三中全会的帷幕拉开，开启了中国改革开放的伟大进程。47年后的同一天，海南自贸港全岛封关，一个新时代的开放叙事，正在南海落笔。这段跨越近半个世纪的伟大实践（</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DB5405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①极大改变了中华民族的面貌、中国人民的面貌</w:t>
      </w:r>
    </w:p>
    <w:p w14:paraId="5C2C0AD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②深刻改变了中国人民和中华民族的前途和命运</w:t>
      </w:r>
    </w:p>
    <w:p w14:paraId="072D7D9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③推动中华民族迎来从站起来、富起来到强起来</w:t>
      </w:r>
    </w:p>
    <w:p w14:paraId="4DFBD3A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④完成了中国有史以来最为广泛而深刻的社会变革</w:t>
      </w:r>
    </w:p>
    <w:p w14:paraId="4315E9DB">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4176123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回望2025，中国以“中国之智”从容回应“世界之问”，成为动荡世界的“稳定锚”。四大全球倡议从发展、安全、文明、治理四个维度，为共建美好世界注入强劲动能；DeepSeek开源模型向世界递出“创新共同体”的邀请函；海南自贸港全岛封关，开放大门越开越大。世界期待的，不是强者独霸的“零和叙事”，而是利益交融、成本共担、收益共享的“合作叙事”。世界可以永远期待中国，是因为中国（</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44AFAAC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①积极构建以和平发展为核心的新型国际关系</w:t>
      </w:r>
    </w:p>
    <w:p w14:paraId="3D23F70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②为解决人类面临的共同问题提供了中国方案</w:t>
      </w:r>
    </w:p>
    <w:p w14:paraId="2513B8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③引领全球科技创新倒逼国家根本职能的转型</w:t>
      </w:r>
    </w:p>
    <w:p w14:paraId="3658DF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④高水平对外开放推动世界经济更加开放包容</w:t>
      </w:r>
    </w:p>
    <w:p w14:paraId="5BFBE76D">
      <w:pPr>
        <w:shd w:val="clear" w:color="auto" w:fill="auto"/>
        <w:tabs>
          <w:tab w:val="left" w:pos="2078"/>
          <w:tab w:val="left" w:pos="4156"/>
          <w:tab w:val="left" w:pos="6234"/>
        </w:tabs>
        <w:spacing w:line="360" w:lineRule="auto"/>
        <w:ind w:left="300"/>
        <w:jc w:val="left"/>
        <w:textAlignment w:val="center"/>
        <w:rPr>
          <w:rFonts w:ascii="Times New Roman" w:hAnsi="Times New Roman" w:eastAsiaTheme="minorEastAsia" w:cs="Times New Roman" w:hint="eastAsia"/>
          <w:sz w:val="21"/>
          <w:lang w:eastAsia="zh-CN"/>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37BCFA3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2025年12月18日，海南自贸港正式启动全岛封关。封关后，海南岛全岛成为一个海关监管特殊区域。在这个区域享受自贸港特殊优惠政策的企业主体，从国外进口到海南的“零关税”商品范围扩大至约6600个税目。全岛封关有利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896342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①推动海南更高水平的对外开放</w:t>
      </w:r>
      <w:r>
        <w:rPr>
          <w:rFonts w:ascii="Times New Roman" w:eastAsia="Times New Roman" w:hAnsi="Times New Roman" w:cs="Times New Roman" w:hint="default"/>
          <w:kern w:val="0"/>
          <w:sz w:val="24"/>
          <w:szCs w:val="24"/>
        </w:rPr>
        <w:t>    </w:t>
      </w:r>
    </w:p>
    <w:p w14:paraId="4A8FB78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②降低海南自贸港企业进口成本</w:t>
      </w:r>
    </w:p>
    <w:p w14:paraId="1507EB4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③联结世界经济成为一个有机整体</w:t>
      </w:r>
      <w:r>
        <w:rPr>
          <w:rFonts w:ascii="Times New Roman" w:eastAsia="Times New Roman" w:hAnsi="Times New Roman" w:cs="Times New Roman" w:hint="default"/>
          <w:kern w:val="0"/>
          <w:sz w:val="24"/>
          <w:szCs w:val="24"/>
        </w:rPr>
        <w:t>    </w:t>
      </w:r>
    </w:p>
    <w:p w14:paraId="654E1E1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④为经济全球化提供强有力的载体</w:t>
      </w:r>
    </w:p>
    <w:p w14:paraId="4A262237">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6F2F84A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2025年12月18日，海南自贸港全岛封关运作正式启动，实行“‘一线’放开、‘二线’管住、岛内自由”政策。该政策中规定，零关税商品覆盖率达74%，加工增值超30%内销免关税。封关首月，海南离岛免税购物金额达48.6亿元、新增备案外贸企业超5000家，“零关税”及加工增值免关税政策红利持续释放，一组组亮眼数据勾勒出更高水平开放的崭新图景。海南封关（</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8326C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①顺应经济全球化，构建以双循环为主体的新发展格局</w:t>
      </w:r>
    </w:p>
    <w:p w14:paraId="7C4177B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②折射我国推动制度型对外开放，与世界共享发展机遇</w:t>
      </w:r>
    </w:p>
    <w:p w14:paraId="44F09AB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③创新加工贸易政策，延长产业链，提升了产品附加值</w:t>
      </w:r>
    </w:p>
    <w:p w14:paraId="34E886C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④全面开放市场，能有效吸引国际投资，促进产业升级</w:t>
      </w:r>
    </w:p>
    <w:p w14:paraId="24483B30">
      <w:pPr>
        <w:shd w:val="clear" w:color="auto" w:fill="auto"/>
        <w:tabs>
          <w:tab w:val="left" w:pos="2078"/>
          <w:tab w:val="left" w:pos="4156"/>
          <w:tab w:val="left" w:pos="6234"/>
        </w:tabs>
        <w:spacing w:line="360" w:lineRule="auto"/>
        <w:ind w:left="380"/>
        <w:jc w:val="left"/>
        <w:textAlignment w:val="center"/>
        <w:rPr>
          <w:rFonts w:ascii="Times New Roman" w:eastAsia="黑体" w:hAnsi="Times New Roman" w:cs="Times New Roman" w:hint="eastAsia"/>
          <w:b/>
          <w:i w:val="0"/>
          <w:color w:val="000000"/>
          <w:sz w:val="30"/>
          <w:lang w:eastAsia="zh-CN"/>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B．②③</w:t>
      </w:r>
      <w:r>
        <w:rPr>
          <w:rFonts w:ascii="Times New Roman" w:hAnsi="Times New Roman" w:cs="Times New Roman" w:hint="default"/>
          <w:sz w:val="21"/>
        </w:rPr>
        <w:tab/>
      </w:r>
      <w:r>
        <w:rPr>
          <w:rFonts w:ascii="Times New Roman" w:hAnsi="Times New Roman" w:cs="Times New Roman" w:hint="default"/>
          <w:sz w:val="21"/>
        </w:rPr>
        <w:t>C．①④</w:t>
      </w:r>
      <w:r>
        <w:rPr>
          <w:rFonts w:ascii="Times New Roman" w:hAnsi="Times New Roman" w:cs="Times New Roman" w:hint="default"/>
          <w:sz w:val="21"/>
        </w:rPr>
        <w:tab/>
      </w:r>
      <w:r>
        <w:rPr>
          <w:rFonts w:ascii="Times New Roman" w:hAnsi="Times New Roman" w:cs="Times New Roman" w:hint="default"/>
          <w:sz w:val="21"/>
        </w:rPr>
        <w:t>D．②④</w:t>
      </w:r>
    </w:p>
    <w:p w14:paraId="11AB9BB6">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700231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62D0F550">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党的二十届三中全会审议通过的《中共中央关于进一步全面深化改革推进中国式现代化的决定》明确提出，加快建设海南自由贸易港。2020年6月，中共中央、国务院印发了《海南自由贸易港建设总体方案》，提出在2025年以前适时启动全岛封关运作。2021年6月，《中华人民共和国海南自由贸易港法》正式颁布实施。</w:t>
      </w:r>
    </w:p>
    <w:p w14:paraId="2258BCA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一2018年以来，以“零关税、低税率、简税制”“五自由便利一安全有序流动”为主框架的自贸港政策制度体系逐步构建，海南累计发布17批146项制度集成创新案例。积极对接国际高标准经贸规则，以高水平开放引领高质量发展，海南自由贸易港2018年以来新设外商投资企业数量年均增速达65%，近3年实际境外投资规模均保持三位数增长。离岛免税政策含金量不断增加，让来岛旅游的群众得到真金白银的实惠，也为离岛免税产业发展不断注入动能。</w:t>
      </w:r>
    </w:p>
    <w:p w14:paraId="6EE02AC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(1)有的人认为，建设海南自由贸易港将为海南提供新的机遇，但恐过度依赖国际资本，冲击本地产业。请结合《经济与社会》的知识对此观点进行评析。</w:t>
      </w:r>
    </w:p>
    <w:p w14:paraId="5429D73A">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二2025年底海南将实施封关运作，是海南自由贸易港建设的标志性和基础性工程，标志着海南自由贸易港建设进入实质性阶段。海南自贸港封关是指在海南全岛建成一个由海关监管的特殊区域，在实现有效监管的前提下，建设“一线”放开、“二线”管住、岛内自由的海关监管特殊区域，实行以“零关税”为基本特征的自由化、便利化制度安排。封关运作并非“封闭”，而是为了更好地向世界开放，实现贸易投资自由化便利化。通过优化贸易、投资、金融等方面的政策和制度，吸引更多的国内外资源和要素集聚海南，推动海南经济高质量发展，打造成为引领我国新时代对外开放的重要门户。</w:t>
      </w:r>
    </w:p>
    <w:p w14:paraId="4BFF1A2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(2)有的人说，海南自由贸易港的蓬勃发展为全球经济带来了前所未有的机遇。结合材料与“经济全球化”的相关知识，请你谈谈对海南自贸港封关运作的认识。</w:t>
      </w:r>
    </w:p>
    <w:p w14:paraId="15E7B8C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15BBCA21">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2025年12月18日，海南自由贸易港正式启动全岛封关，这是中国坚定不移扩大高水平对外开放、推动建设开放型世界经济的标志性举措。</w:t>
      </w:r>
    </w:p>
    <w:p w14:paraId="2541C897">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材料一</w:t>
      </w:r>
      <w:r>
        <w:rPr>
          <w:rFonts w:ascii="Times New Roman" w:eastAsia="Times New Roman" w:hAnsi="Times New Roman" w:cs="Times New Roman" w:hint="default"/>
          <w:kern w:val="0"/>
          <w:sz w:val="24"/>
          <w:szCs w:val="24"/>
        </w:rPr>
        <w:t>  </w:t>
      </w:r>
      <w:r>
        <w:rPr>
          <w:rFonts w:ascii="Times New Roman" w:eastAsia="楷体" w:hAnsi="Times New Roman" w:cs="Times New Roman" w:hint="default"/>
          <w:sz w:val="21"/>
        </w:rPr>
        <w:t>海南自由贸易港建设在多领域取得突破性进展，其通关管理的</w:t>
      </w:r>
      <w:r>
        <w:rPr>
          <w:rFonts w:ascii="Times New Roman" w:hAnsi="Times New Roman" w:cs="Times New Roman" w:hint="default"/>
          <w:sz w:val="21"/>
        </w:rPr>
        <w:t>“</w:t>
      </w:r>
      <w:r>
        <w:rPr>
          <w:rFonts w:ascii="Times New Roman" w:eastAsia="楷体" w:hAnsi="Times New Roman" w:cs="Times New Roman" w:hint="default"/>
          <w:sz w:val="21"/>
        </w:rPr>
        <w:t>放开</w:t>
      </w:r>
      <w:r>
        <w:rPr>
          <w:rFonts w:ascii="Times New Roman" w:hAnsi="Times New Roman" w:cs="Times New Roman" w:hint="default"/>
          <w:sz w:val="21"/>
        </w:rPr>
        <w:t>”</w:t>
      </w:r>
      <w:r>
        <w:rPr>
          <w:rFonts w:ascii="Times New Roman" w:eastAsia="楷体" w:hAnsi="Times New Roman" w:cs="Times New Roman" w:hint="default"/>
          <w:sz w:val="21"/>
        </w:rPr>
        <w:t>与</w:t>
      </w:r>
      <w:r>
        <w:rPr>
          <w:rFonts w:ascii="Times New Roman" w:hAnsi="Times New Roman" w:cs="Times New Roman" w:hint="default"/>
          <w:sz w:val="21"/>
        </w:rPr>
        <w:t>“</w:t>
      </w:r>
      <w:r>
        <w:rPr>
          <w:rFonts w:ascii="Times New Roman" w:eastAsia="楷体" w:hAnsi="Times New Roman" w:cs="Times New Roman" w:hint="default"/>
          <w:sz w:val="21"/>
        </w:rPr>
        <w:t>管住</w:t>
      </w:r>
      <w:r>
        <w:rPr>
          <w:rFonts w:ascii="Times New Roman" w:hAnsi="Times New Roman" w:cs="Times New Roman" w:hint="default"/>
          <w:sz w:val="21"/>
        </w:rPr>
        <w:t>”</w:t>
      </w:r>
      <w:r>
        <w:rPr>
          <w:rFonts w:ascii="Times New Roman" w:eastAsia="楷体" w:hAnsi="Times New Roman" w:cs="Times New Roman" w:hint="default"/>
          <w:sz w:val="21"/>
        </w:rPr>
        <w:t>协同模式成为推动国家高质量发展的关键。</w:t>
      </w:r>
    </w:p>
    <w:p w14:paraId="412A7BF6">
      <w:pPr>
        <w:shd w:val="clear" w:color="auto" w:fill="auto"/>
        <w:spacing w:line="360" w:lineRule="auto"/>
        <w:jc w:val="center"/>
        <w:textAlignment w:val="center"/>
        <w:rPr>
          <w:rFonts w:ascii="Times New Roman" w:hAnsi="Times New Roman" w:cs="Times New Roman" w:hint="default"/>
          <w:sz w:val="21"/>
        </w:rPr>
      </w:pPr>
      <w:r>
        <w:rPr>
          <w:rFonts w:ascii="Times New Roman" w:eastAsia="Times New Roman" w:hAnsi="Times New Roman" w:cs="Times New Roman" w:hint="default"/>
          <w:strike w:val="0"/>
          <w:kern w:val="0"/>
          <w:sz w:val="24"/>
          <w:szCs w:val="24"/>
          <w:u w:val="none"/>
        </w:rPr>
        <w:drawing>
          <wp:inline distT="0" distB="0" distL="114300" distR="114300">
            <wp:extent cx="4343400" cy="2600325"/>
            <wp:effectExtent l="0" t="0" r="0" b="9525"/>
            <wp:docPr id="187" name="图片 187" descr="@@@63245e6d-131b-4f2a-b81c-afb4fea92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63245e6d-131b-4f2a-b81c-afb4fea92e40"/>
                    <pic:cNvPicPr>
                      <a:picLocks noChangeAspect="1"/>
                    </pic:cNvPicPr>
                  </pic:nvPicPr>
                  <pic:blipFill>
                    <a:blip xmlns:r="http://schemas.openxmlformats.org/officeDocument/2006/relationships" r:embed="rId11"/>
                    <a:stretch>
                      <a:fillRect/>
                    </a:stretch>
                  </pic:blipFill>
                  <pic:spPr>
                    <a:xfrm>
                      <a:off x="0" y="0"/>
                      <a:ext cx="4343400" cy="2600325"/>
                    </a:xfrm>
                    <a:prstGeom prst="rect">
                      <a:avLst/>
                    </a:prstGeom>
                  </pic:spPr>
                </pic:pic>
              </a:graphicData>
            </a:graphic>
          </wp:inline>
        </w:drawing>
      </w:r>
    </w:p>
    <w:p w14:paraId="61B60733">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材料二</w:t>
      </w:r>
      <w:r>
        <w:rPr>
          <w:rFonts w:ascii="Times New Roman" w:eastAsia="Times New Roman" w:hAnsi="Times New Roman" w:cs="Times New Roman" w:hint="default"/>
          <w:kern w:val="0"/>
          <w:sz w:val="24"/>
          <w:szCs w:val="24"/>
        </w:rPr>
        <w:t>  </w:t>
      </w:r>
      <w:r>
        <w:rPr>
          <w:rFonts w:ascii="Times New Roman" w:eastAsia="楷体" w:hAnsi="Times New Roman" w:cs="Times New Roman" w:hint="default"/>
          <w:sz w:val="21"/>
        </w:rPr>
        <w:t>当前，经济全球化遭遇逆流，保护主义、单边主义抬头，全球产业链供应链面临重构挑战。海南自贸港作为中国的重要开放门户，在贸易投资自由化便利化、金融开放创新、跨境服务贸易等领域先行先试，形成了一批可复制可推广的制度创新成果，为全球经济治理贡献了中国方案。同时，中国坚定奉行互利共赢的开放战略，积极推动海南自贸港与</w:t>
      </w:r>
      <w:r>
        <w:rPr>
          <w:rFonts w:ascii="Times New Roman" w:hAnsi="Times New Roman" w:cs="Times New Roman" w:hint="default"/>
          <w:sz w:val="21"/>
        </w:rPr>
        <w:t>“</w:t>
      </w:r>
      <w:r>
        <w:rPr>
          <w:rFonts w:ascii="Times New Roman" w:eastAsia="楷体" w:hAnsi="Times New Roman" w:cs="Times New Roman" w:hint="default"/>
          <w:sz w:val="21"/>
        </w:rPr>
        <w:t>一带一路</w:t>
      </w:r>
      <w:r>
        <w:rPr>
          <w:rFonts w:ascii="Times New Roman" w:hAnsi="Times New Roman" w:cs="Times New Roman" w:hint="default"/>
          <w:sz w:val="21"/>
        </w:rPr>
        <w:t>”</w:t>
      </w:r>
      <w:r>
        <w:rPr>
          <w:rFonts w:ascii="Times New Roman" w:eastAsia="楷体" w:hAnsi="Times New Roman" w:cs="Times New Roman" w:hint="default"/>
          <w:sz w:val="21"/>
        </w:rPr>
        <w:t>沿线国家和地区的经贸合作，有力促进了区域经济互联互通与共同繁荣。通过打造法治化、国际化、便利化的营商环境，海南自贸港成为中国参与全球治理、推动构建人类命运共同体的重要实践平台</w:t>
      </w:r>
      <w:r>
        <w:rPr>
          <w:rFonts w:ascii="Times New Roman" w:hAnsi="Times New Roman" w:cs="Times New Roman" w:hint="default"/>
          <w:sz w:val="21"/>
        </w:rPr>
        <w:t>，</w:t>
      </w:r>
      <w:r>
        <w:rPr>
          <w:rFonts w:ascii="Times New Roman" w:eastAsia="楷体" w:hAnsi="Times New Roman" w:cs="Times New Roman" w:hint="default"/>
          <w:sz w:val="21"/>
        </w:rPr>
        <w:t>提升了中国在国际治理中的影响力。</w:t>
      </w:r>
    </w:p>
    <w:p w14:paraId="44CD96A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(1)结合材料一，运用《经济与社会》相关知识，分析海南自贸港的通关管理模式是如何协同发力推动国家高质量发展的？</w:t>
      </w:r>
    </w:p>
    <w:p w14:paraId="096BD19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(2)结合材料二，运用《当代国际政治与经济》相关知识，分析中国推动海南自由贸易港建设的经济和政治价值。</w:t>
      </w:r>
    </w:p>
    <w:p w14:paraId="01BCF5E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49B9D10D">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关于海南自由贸易港的发展，中共中央、国务院印发了《海南自由贸易港建设总体方案》，方案明确了海南自贸港建设时间表和路线图。方案提出，到2025年，初步建立以贸易自由便利和投资自由便利为重点的自由贸易港政策制度体系。到2035年，自由贸易港制度体系和运作模式更加成熟，以自由、公平、法治、高水平过程监管为特征的贸易投资规则基本构建，实现贸易自由便利、投资自由便利、跨境资金流动自由便利、人员进出自由便利、运输来往自由便利和数据安全有序流动。到本世纪中叶，全面建成具有较强国际影响力的高水平自由贸易港。</w:t>
      </w:r>
    </w:p>
    <w:p w14:paraId="3BA80EC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结合材料，说明《海南自由贸易港建设总体方案》是怎样体现整体和部分辩证关系的。</w:t>
      </w:r>
    </w:p>
    <w:p w14:paraId="1EBE035C">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ascii="宋体" w:eastAsia="宋体" w:hAnsi="宋体" w:cs="宋体"/>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54" name="图片 54"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2</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Fonts w:ascii="微软雅黑" w:eastAsia="微软雅黑" w:hAnsi="微软雅黑" w:cs="微软雅黑" w:hint="eastAsia"/>
          <w:b/>
          <w:bCs/>
          <w:kern w:val="2"/>
          <w:sz w:val="21"/>
          <w:szCs w:val="21"/>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熬过无人问津的日子，才能拥抱诗和远方。—— 毕淑敏</w:t>
      </w:r>
    </w:p>
    <w:p w14:paraId="3EA53FFF">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eastAsia"/>
          <w:b/>
          <w:bCs/>
          <w:sz w:val="32"/>
          <w:szCs w:val="32"/>
          <w:lang w:val="en-US" w:eastAsia="zh-CN"/>
        </w:rPr>
      </w:pPr>
      <w:r>
        <w:rPr>
          <w:rFonts w:ascii="微软雅黑" w:eastAsia="微软雅黑" w:hAnsi="微软雅黑" w:cs="微软雅黑" w:hint="eastAsia"/>
          <w:b/>
          <w:bCs/>
          <w:sz w:val="32"/>
          <w:szCs w:val="32"/>
          <w:lang w:val="en-US" w:eastAsia="zh-CN"/>
        </w:rPr>
        <w:t>时政热点04：树立和践行正确的政绩观</w:t>
      </w:r>
    </w:p>
    <w:p w14:paraId="76A5CFE0">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sz w:val="28"/>
        </w:rPr>
        <mc:AlternateContent>
          <mc:Choice Requires="wpg">
            <w:drawing>
              <wp:inline distT="0" distB="0" distL="114300" distR="114300">
                <wp:extent cx="203200" cy="280035"/>
                <wp:effectExtent l="0" t="0" r="25400" b="5715"/>
                <wp:docPr id="194" name="组合 194"/>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95"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96"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97"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85" style="width:16pt;height:22.05pt" coordorigin="6081,38224" coordsize="389,536">
                <o:lock v:ext="edit" aspectratio="f"/>
                <v:roundrect id="圆角矩形 13" o:spid="_x0000_s1086" style="width:113;height:340;flip:x;left:6358;position:absolute;rotation:13;top:38413;v-text-anchor:middle" arcsize="10923f" coordsize="21600,21600" filled="t" fillcolor="#2e54a1" stroked="f">
                  <v:stroke joinstyle="miter"/>
                  <o:lock v:ext="edit" aspectratio="f"/>
                </v:roundrect>
                <v:roundrect id="矩形 16" o:spid="_x0000_s1087" style="width:113;height:412;flip:x;left:6225;position:absolute;rotation:8;top:38343;v-text-anchor:middle" arcsize="10923f" coordsize="21600,21600" filled="t" fillcolor="#c81d31" stroked="f">
                  <v:stroke joinstyle="miter"/>
                  <o:lock v:ext="edit" aspectratio="f"/>
                </v:roundrect>
                <v:roundrect id="圆角矩形 14" o:spid="_x0000_s108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6BE1050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4D9D51D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我国全面推进高质量发展进入关键攻坚期，树立和践行正确的政绩观成为加强党的建设、提升治理效能、推动事业发展的核心议题。正确政绩观以“为民造福”为根本导向，以“实事求是”为核心原则，以“功在当代、利在千秋”为价值追求，是新时代党员干部履职尽责的行动指南，更是聚焦“党的建设”“治理效能”“价值引领”的重要命题。</w:t>
      </w:r>
    </w:p>
    <w:p w14:paraId="758A6D1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各地各部门深入贯彻落实正确政绩观，坚决纠治“形象工程”“政绩工程”，聚焦民生实事、生态保护、乡村振兴、科技创新等重点领域，推动各项工作往实里走、往深里走。从基层治理中聚焦群众“急难愁盼”问题，到生态保护中坚守“绿水青山就是金山银山”理念；从科技创新中深耕核心技术突破，到乡村振兴中扎实推进共同富裕，正确政绩观已转化为各级党员干部干事创业的实际行动，成为推动高质量发展的强大动力。</w:t>
      </w:r>
    </w:p>
    <w:p w14:paraId="5EF25A4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践行正确政绩观既面临部分干部政绩导向偏差、急功近利等现实挑战，也拥有党中央坚强领导、制度体系保障、群众广泛监督的有利条件。立足中国式现代化全局，树立和践行正确的政绩观，既是加强党的执政能力建设、永葆党的先进性和纯洁性的必然要求，也是破解发展不平衡不充分问题、实现高质量发展、推进民族复兴的重要保障。</w:t>
      </w:r>
    </w:p>
    <w:p w14:paraId="2FC3605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40AF36C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考向一：政治与法治——正确政绩观的政治保障与治理实践</w:t>
      </w:r>
    </w:p>
    <w:p w14:paraId="1E7D261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党员干部践行正确政绩观的具体实践、党和政府的相关部署、基层治理成效，考查党的领导、党的建设、政府职能、依法行政、全过程人民民主、国家治理体系和治理能力现代化等知识，分析树立和践行正确政绩观的政治逻辑、治理效能。</w:t>
      </w:r>
    </w:p>
    <w:p w14:paraId="6C1675B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共产党的领导核心作用（统筹正确政绩观的贯彻落实，明确政绩导向）；党的建设（加强思想建设、作风建设，纠正政绩偏差，筑牢党员干部思想根基）；政府的职能（坚持对人民负责原则，履行经济建设、社会建设、生态文明建设职能，践行以人民为中心的发展思想）；依法行政（规范行政行为，杜绝“形象工程”，提升政府公信力）；全过程人民民主（群众监督、人大监督，推动政绩观落地生根，确保政绩为民）。</w:t>
      </w:r>
    </w:p>
    <w:p w14:paraId="2701019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考向二：经济与社会——正确政绩观引领高质量发展与共同富裕</w:t>
      </w:r>
    </w:p>
    <w:p w14:paraId="2FAA85E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正确政绩观在经济发展、生态保护、乡村振兴、民生保障等领域的实践，考查新发展理念、现代化经济体系、社会主义市场经济体制、高质量发展、共同富裕等知识，分析正确政绩观对经济社会发展的引领作用。</w:t>
      </w:r>
    </w:p>
    <w:p w14:paraId="75A600B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新发展理念（正确政绩观契合创新、协调、绿色、开放、共享发展理念，推动发展方式转变）；高质量发展（摒弃粗放式发展，聚焦质量效益，推动经济质的有效提升和量的合理增长）；现代化经济体系（立足长远发展，完善产业体系、生态体系，夯实发展根基）；共同富裕（以为民造福为导向，缩小城乡、区域差距，让发展成果惠及全体人民）；政府宏观调控（践行正确政绩观，优化调控方式，避免短期行为，推动可持续发展）。</w:t>
      </w:r>
    </w:p>
    <w:p w14:paraId="55B20CC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bookmarkStart w:id="23" w:name="heading_4"/>
      <w:r>
        <w:rPr>
          <w:rFonts w:ascii="宋体" w:eastAsia="宋体" w:hAnsi="宋体" w:cs="宋体" w:hint="eastAsia"/>
          <w:b/>
          <w:sz w:val="21"/>
          <w:szCs w:val="21"/>
        </w:rPr>
        <w:t>考向三：中国特色社会主义——正确政绩观与中国式现代化的推进</w:t>
      </w:r>
      <w:bookmarkEnd w:id="23"/>
    </w:p>
    <w:p w14:paraId="1AD7D46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正确政绩观的时代内涵和实践意义，考查中国式现代化的特征、中国特色社会主义制度的优越性、民族复兴的路径、以人民为中心的发展思想等知识，阐释树立和践行正确政绩观对推进中国式现代化的重要价值。</w:t>
      </w:r>
    </w:p>
    <w:p w14:paraId="4F17661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五大特征（正确政绩观契合高质量发展、共同富裕、人与自然和谐共生、对外开放的要求）；中国特色社会主义制度的显著优势（集中力量办大事，引导党员干部树立长远政绩观，推动事业持续发展）；以人民为中心的发展思想（正确政绩观的核心是为民造福，彰显社会主义的价值追求）；民族复兴的路径（践行正确政绩观，破解发展难题，凝聚发展合力，为民族复兴提供动力）。</w:t>
      </w:r>
    </w:p>
    <w:p w14:paraId="1B8EC7E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考向四：哲学与文化——正确政绩观的哲学依据与文化支撑</w:t>
      </w:r>
    </w:p>
    <w:p w14:paraId="5BF9936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正确政绩观的科学内涵和实践要求，结合社会主义核心价值观、文化自信、精神文明建设等情境，考查文化对践行正确政绩观的支撑作用，说明树立正确政绩观的哲学思维和文化引领。</w:t>
      </w:r>
    </w:p>
    <w:p w14:paraId="55EBFD6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整体与部分、系统优化，正确处理局部政绩与全局政绩、短期政绩与长远政绩的关系；两点论与重点论，聚焦为民办实事，摒弃形式主义）；历史唯物主义（社会存在与社会意识的辩证关系，正确政绩观作为先进社会意识推动社会发展；价值观的导向作用，引导党员干部树立正确的价值取向；人民群众是历史的创造者，践行群众路线，把为民造福作为最大政绩）；文化与政治相互交融（培育践行社会主义核心价值观，筑牢党员干部思想道德根基）；文化自信（传承中华优秀传统文化中“民为邦本”的理念，彰显新时代政绩观的文化底蕴）。</w:t>
      </w:r>
    </w:p>
    <w:p w14:paraId="21D383D1">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0EA3BEB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聚焦核心内涵</w:t>
      </w:r>
      <w:r>
        <w:rPr>
          <w:rFonts w:ascii="宋体" w:eastAsia="宋体" w:hAnsi="宋体" w:cs="宋体" w:hint="eastAsia"/>
          <w:b/>
          <w:bCs/>
          <w:sz w:val="21"/>
          <w:szCs w:val="21"/>
          <w:lang w:eastAsia="zh-CN"/>
        </w:rPr>
        <w:t>：</w:t>
      </w:r>
      <w:r>
        <w:rPr>
          <w:rFonts w:ascii="宋体" w:eastAsia="宋体" w:hAnsi="宋体" w:cs="宋体" w:hint="eastAsia"/>
          <w:sz w:val="21"/>
          <w:szCs w:val="21"/>
        </w:rPr>
        <w:t>吃透“为民造福—实事求是—长远发展”逻辑，掌握关键时政术语。</w:t>
      </w:r>
    </w:p>
    <w:p w14:paraId="1AFCE01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eastAsia="zh-CN"/>
        </w:rPr>
        <w:t>：</w:t>
      </w:r>
      <w:r>
        <w:rPr>
          <w:rFonts w:ascii="宋体" w:eastAsia="宋体" w:hAnsi="宋体" w:cs="宋体" w:hint="eastAsia"/>
          <w:sz w:val="21"/>
          <w:szCs w:val="21"/>
        </w:rPr>
        <w:t>构建“政治保障—经济引领—制度优势—哲学支撑”跨模块体系。</w:t>
      </w:r>
    </w:p>
    <w:p w14:paraId="3984F8F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eastAsia="zh-CN"/>
        </w:rPr>
        <w:t>：</w:t>
      </w:r>
      <w:r>
        <w:rPr>
          <w:rFonts w:ascii="宋体" w:eastAsia="宋体" w:hAnsi="宋体" w:cs="宋体" w:hint="eastAsia"/>
          <w:sz w:val="21"/>
          <w:szCs w:val="21"/>
        </w:rPr>
        <w:t>突破措施类、意义类主观题，提升材料与原理的对接精准度。</w:t>
      </w:r>
    </w:p>
    <w:p w14:paraId="44D6BA3C">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对接实践案例</w:t>
      </w:r>
      <w:r>
        <w:rPr>
          <w:rFonts w:ascii="宋体" w:eastAsia="宋体" w:hAnsi="宋体" w:cs="宋体" w:hint="eastAsia"/>
          <w:b/>
          <w:bCs/>
          <w:sz w:val="21"/>
          <w:szCs w:val="21"/>
          <w:lang w:eastAsia="zh-CN"/>
        </w:rPr>
        <w:t>：</w:t>
      </w:r>
      <w:r>
        <w:rPr>
          <w:rFonts w:ascii="宋体" w:eastAsia="宋体" w:hAnsi="宋体" w:cs="宋体" w:hint="eastAsia"/>
          <w:sz w:val="21"/>
          <w:szCs w:val="21"/>
        </w:rPr>
        <w:t>关注基层治理、生态保护等场景，增强备考针对性。</w:t>
      </w:r>
    </w:p>
    <w:p w14:paraId="4F5FC8FE">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198" name="组合 198"/>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99"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0"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1"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89" style="width:16pt;height:22.05pt" coordorigin="6081,38224" coordsize="389,536">
                <o:lock v:ext="edit" aspectratio="f"/>
                <v:roundrect id="圆角矩形 13" o:spid="_x0000_s1090" style="width:113;height:340;flip:x;left:6358;position:absolute;rotation:13;top:38413;v-text-anchor:middle" arcsize="10923f" coordsize="21600,21600" filled="t" fillcolor="#7ddfd7" stroked="f">
                  <v:stroke joinstyle="miter"/>
                  <o:lock v:ext="edit" aspectratio="f"/>
                </v:roundrect>
                <v:roundrect id="矩形 16" o:spid="_x0000_s1091" style="width:113;height:412;flip:x;left:6225;position:absolute;rotation:8;top:38343;v-text-anchor:middle" arcsize="10923f" coordsize="21600,21600" filled="t" fillcolor="#c81d31" stroked="f">
                  <v:stroke joinstyle="miter"/>
                  <o:lock v:ext="edit" aspectratio="f"/>
                </v:roundrect>
                <v:roundrect id="圆角矩形 14" o:spid="_x0000_s109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19D2B2C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考向一：政治与法治</w:t>
      </w:r>
    </w:p>
    <w:p w14:paraId="3DC8874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设问1：结合材料，运用相关知识，说明中国共产党在引导党员干部树立和践行正确政绩观中的作用。</w:t>
      </w:r>
    </w:p>
    <w:p w14:paraId="4804D83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答案</w:t>
      </w:r>
      <w:r>
        <w:rPr>
          <w:rFonts w:ascii="宋体" w:eastAsia="宋体" w:hAnsi="宋体" w:cs="宋体" w:hint="eastAsia"/>
          <w:sz w:val="21"/>
          <w:szCs w:val="21"/>
        </w:rPr>
        <w:t>：</w:t>
      </w:r>
    </w:p>
    <w:p w14:paraId="4CACFF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①发挥党总揽全局、协调各方的领导核心作用，出台相关部署，明确正确政绩观的核心内涵和实践要求，为党员干部提供方向指引。</w:t>
      </w:r>
    </w:p>
    <w:p w14:paraId="34CA562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②加强党的思想建设和作风建设，开展政绩观专题教育，引导党员干部树立“为民造福”的政绩导向，纠正政绩偏差。</w:t>
      </w:r>
    </w:p>
    <w:p w14:paraId="272AB33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③坚持科学执政、民主执政、依法执政，完善政绩考核评价体系，督促党员干部践行正确政绩观，推动各项举措落地见效。</w:t>
      </w:r>
    </w:p>
    <w:p w14:paraId="26CAAA7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设问2：运用相关知识，分析我国政府应如何践行正确政绩观，提升治理效能。</w:t>
      </w:r>
    </w:p>
    <w:p w14:paraId="64184EB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B2453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①坚持对人民负责原则和以人民为中心的发展思想，聚焦民生实事，解决群众急难愁盼问题，把为民造福作为最大政绩。</w:t>
      </w:r>
    </w:p>
    <w:p w14:paraId="1A980CF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②坚持依法行政，规范行政行为，杜绝“形象工程”“政绩工程”，完善政务服务，提升服务效能。</w:t>
      </w:r>
    </w:p>
    <w:p w14:paraId="4A1C67A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③完善政绩考核体系，摒弃“唯GDP论”，将生态保护、民生改善、基层治理等纳入考核，倒逼自身践行正确政绩观，自觉接受监督。</w:t>
      </w:r>
    </w:p>
    <w:p w14:paraId="48D2026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考向二：经济与社会</w:t>
      </w:r>
    </w:p>
    <w:p w14:paraId="4FCA649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设问1：结合材料，运用相关知识，说明践行正确政绩观对培育新质生产力、推动高质量发展的作用。</w:t>
      </w:r>
    </w:p>
    <w:p w14:paraId="60E4C2A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5D1107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①践行正确政绩观，引导地方政府聚焦高质量发展，加大科技创新投入，推动核心技术突破，培育高新技术产业，为新质生产力培育提供支撑。</w:t>
      </w:r>
    </w:p>
    <w:p w14:paraId="489E3CB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②坚持绿色发展理念，推动经济发展与生态保护协同推进，发展绿色产业、低碳产业，优化产业结构，推动发展方式转变。</w:t>
      </w:r>
    </w:p>
    <w:p w14:paraId="492F12F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③摒弃粗放式发展模式，注重质量效益，统筹经济发展与民生改善，推动经济质的有效提升和量的合理增长，筑牢高质量发展根基。</w:t>
      </w:r>
    </w:p>
    <w:p w14:paraId="2D2D35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设问2：运用相关知识，分析践行正确政绩观对实现共同富裕的重要意义。</w:t>
      </w:r>
    </w:p>
    <w:p w14:paraId="4076B0F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3DD40A0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①正确政绩观以为民造福为核心，引导党员干部聚焦民生改善，加大教育、医疗、养老等公共服务投入，缩小城乡、区域、收入差距，助力共同富裕。</w:t>
      </w:r>
    </w:p>
    <w:p w14:paraId="6CC7DC4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②推动乡村振兴战略落地见效，带动农村发展、农民增收，破解城乡发展不平衡问题，让农村居民共享发展成果。</w:t>
      </w:r>
    </w:p>
    <w:p w14:paraId="2642BF4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③坚持共享发展理念，统筹兼顾不同群体利益，推动发展成果更多更公平惠及全体人民，彰显社会主义的本质要求，为共同富裕注入持久动力。</w:t>
      </w:r>
    </w:p>
    <w:p w14:paraId="0407410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考向三：中国特色社会主义</w:t>
      </w:r>
    </w:p>
    <w:p w14:paraId="1C02BA1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设问1：结合材料，运用相关知识，说明树立和践行正确的政绩观如何彰显中国特色社会主义制度的显著优势。</w:t>
      </w:r>
    </w:p>
    <w:p w14:paraId="3B9D57A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AE454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①彰显党的领导的显著优势，党总揽全局、协调各方，引导党员干部树立正确政绩观，体现党的领导是中国特色社会主义最本质的特征。</w:t>
      </w:r>
    </w:p>
    <w:p w14:paraId="2BCF56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②彰显以人民为中心的制度优势，正确政绩观聚焦为民造福，让发展成果惠及全体人民，体现社会主义的价值追求。</w:t>
      </w:r>
    </w:p>
    <w:p w14:paraId="090755A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③彰显集中力量办大事的制度优势，统筹长远发展与当下民生，推动科技创新、生态保护等重点工作，破解发展难题，展现制度的强大动员能力。</w:t>
      </w:r>
    </w:p>
    <w:p w14:paraId="3B8240C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设问2：运用相关知识，说明正确政绩观与中国式现代化的内在联系。</w:t>
      </w:r>
    </w:p>
    <w:p w14:paraId="5819079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18D4A4D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①正确政绩观是推进中国式现代化的重要指引，其“为民造福、实事求是、长远发展”的核心内涵，契合中国式现代化高质量发展、共同富裕、人与自然和谐共生的特征。</w:t>
      </w:r>
    </w:p>
    <w:p w14:paraId="1FDB84B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②中国式现代化为正确政绩观提供实践载体和方向指引，中国式现代化的实践要求，推动党员干部摒弃错误政绩观，践行真抓实干、为民造福的理念。</w:t>
      </w:r>
    </w:p>
    <w:p w14:paraId="74CDC9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③二者相互促进、有机统一，正确政绩观推动中国式现代化破解发展难题、提升治理效能，中国式现代化的推进又能丰富和完善正确政绩观的内涵。</w:t>
      </w:r>
    </w:p>
    <w:p w14:paraId="286B121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b/>
          <w:color w:val="0070C0"/>
          <w:sz w:val="21"/>
          <w:szCs w:val="21"/>
        </w:rPr>
      </w:pPr>
      <w:r>
        <w:rPr>
          <w:rFonts w:ascii="宋体" w:eastAsia="宋体" w:hAnsi="宋体" w:cs="宋体" w:hint="eastAsia"/>
          <w:b/>
          <w:color w:val="0070C0"/>
          <w:sz w:val="21"/>
          <w:szCs w:val="21"/>
        </w:rPr>
        <w:t>考向四：哲学与文化</w:t>
      </w:r>
    </w:p>
    <w:p w14:paraId="09DBED0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设问1：运用唯物辩证法知识，分析党员干部践行正确政绩观的科学思维方法。</w:t>
      </w:r>
    </w:p>
    <w:p w14:paraId="68C31DD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0C3441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①坚持整体与部分的辩证统一，既要立足国家发展全局，谋划长远政绩，又要聚焦基层实际，解决具体民生问题，实现全局与局部的有机统一。</w:t>
      </w:r>
    </w:p>
    <w:p w14:paraId="3EDF563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②坚持两点论与重点论的统一，既要统筹经济发展、生态保护、民生改善等多方面工作，又要聚焦为民造福这一核心，实现全面推进与重点突破的统一。</w:t>
      </w:r>
    </w:p>
    <w:p w14:paraId="4374951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③坚持具体问题具体分析，立足地方实际，因地制宜践行正确政绩观，不搞“一刀切”，确保政绩符合实际、惠及群众。</w:t>
      </w:r>
    </w:p>
    <w:p w14:paraId="60ACD2E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设问2：运用相关知识，说明如何通过文化建设引领党员干部树立正确的政绩观。</w:t>
      </w:r>
    </w:p>
    <w:p w14:paraId="1EA7227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6341CA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①传承中华优秀传统文化中“民为邦本”“功在千秋”的理念，结合新时代实践推动创造性转化、创新性发展，为正确政绩观提供文化底蕴。</w:t>
      </w:r>
    </w:p>
    <w:p w14:paraId="7B4F011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②弘扬社会主义核心价值观，加强思想道德建设，引导党员干部树立正确的权力观、政绩观、事业观，筑牢思想根基。</w:t>
      </w:r>
    </w:p>
    <w:p w14:paraId="6330643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③加强精神文明建设，宣传践行正确政绩观的先进典型，营造崇尚实干、反对形式主义的良好氛围，推动正确政绩观转化为自觉行动。</w:t>
      </w:r>
    </w:p>
    <w:p w14:paraId="2FA4466E">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202" name="组合 202"/>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03"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4"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05"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093" style="width:16pt;height:22.05pt" coordorigin="6081,38224" coordsize="389,536">
                <o:lock v:ext="edit" aspectratio="f"/>
                <v:roundrect id="圆角矩形 13" o:spid="_x0000_s1094" style="width:113;height:340;flip:x;left:6358;position:absolute;rotation:13;top:38413;v-text-anchor:middle" arcsize="10923f" coordsize="21600,21600" filled="t" fillcolor="#2e54a1" stroked="f">
                  <v:stroke joinstyle="miter"/>
                  <o:lock v:ext="edit" aspectratio="f"/>
                </v:roundrect>
                <v:roundrect id="矩形 16" o:spid="_x0000_s1095" style="width:113;height:412;flip:x;left:6225;position:absolute;rotation:8;top:38343;v-text-anchor:middle" arcsize="10923f" coordsize="21600,21600" filled="t" fillcolor="#c81d31" stroked="f">
                  <v:stroke joinstyle="miter"/>
                  <o:lock v:ext="edit" aspectratio="f"/>
                </v:roundrect>
                <v:roundrect id="圆角矩形 14" o:spid="_x0000_s109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3DECCB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考考向一：政治与法治——正确政绩观的政治保障与治理实践</w:t>
      </w:r>
    </w:p>
    <w:p w14:paraId="2EC6684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党中央持续强调树立和践行正确的政绩观，要求党员干部坚决纠治“形象工程”“政绩工程”，聚焦民生实事、生态保护等重点领域，真抓实干、务求实效；各级政府坚持依法行政，完善政绩考核体系，将群众满意度作为重要考核指标；人大加强监督，督促政府践行正确政绩观，推动各项惠民政策落地。这体现了我国（ ）</w:t>
      </w:r>
    </w:p>
    <w:p w14:paraId="204AC1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①党的领导是践行正确政绩观的根本保证 ②政府坚持对人民负责，建设服务型政府</w:t>
      </w:r>
    </w:p>
    <w:p w14:paraId="50CE6BA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③人大行使监督权，规范政府行政行为 ④全过程人民民主是政绩观落地的根本动力</w:t>
      </w:r>
    </w:p>
    <w:p w14:paraId="2D55683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0ED6F28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坚持党的领导，推动党员干部树立和践行正确的政绩观，一方面，加强党的思想建设和作风建设，开展政绩观专题教育，引导党员干部树立“为民造福”的政绩导向；另一方面，完善政绩考核评价体系，摒弃“唯GDP论”，将生态保护、民生改善、基层治理等纳入考核；同时，畅通群众监督渠道，鼓励群众参与政绩评价，督促党员干部真抓实干，杜绝形式主义、官僚主义，推动治理效能持续提升。</w:t>
      </w:r>
    </w:p>
    <w:p w14:paraId="39A54B2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结合材料，运用《政治与法治》知识，说明我国如何通过政治保障推动党员干部树立和践行正确的政绩观。</w:t>
      </w:r>
    </w:p>
    <w:p w14:paraId="7119FEBB">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9" name="图片 239"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09DC594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sz w:val="22"/>
        </w:rPr>
        <mc:AlternateContent>
          <mc:Choice Requires="wps">
            <w:drawing>
              <wp:inline distT="0" distB="0" distL="114300" distR="114300">
                <wp:extent cx="6219825" cy="731520"/>
                <wp:effectExtent l="6350" t="6350" r="22225" b="24130"/>
                <wp:docPr id="240" name="文本框 240"/>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731520"/>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措施类主观题，梳理“党—政府—监督—群众”的逻辑主线，突出“政治保障”，每点对应具体政治主体和举措，使用“坚持、完善、强化、畅通”等规范动词，避免泛谈，贴合政绩观践行的具体情境。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97" style="width:489.75pt;height:57.6pt" arcsize="5680f" coordsize="21600,21600" filled="t" fillcolor="#fce6d5" stroked="t" strokecolor="#249087">
                <v:fill opacity="26214f"/>
                <v:stroke joinstyle="round" dashstyle="longDashDotDot"/>
                <o:lock v:ext="edit" aspectratio="f"/>
                <v:textbox>
                  <w:txbxContent>
                    <w:p w14:paraId="047815E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措施类主观题，梳理“党—政府—监督—群众”的逻辑主线，突出“政治保障”，每点对应具体政治主体和举措，使用“坚持、完善、强化、畅通”等规范动词，避免泛谈，贴合政绩观践行的具体情境。</w:t>
                      </w:r>
                    </w:p>
                    <w:p w14:paraId="5649B7AB"/>
                  </w:txbxContent>
                </v:textbox>
                <w10:anchorlock/>
              </v:roundrect>
            </w:pict>
          </mc:Fallback>
        </mc:AlternateContent>
      </w:r>
      <w:r>
        <w:rPr>
          <w:rFonts w:ascii="宋体" w:eastAsia="宋体" w:hAnsi="宋体" w:cs="宋体" w:hint="eastAsia"/>
          <w:b/>
          <w:color w:val="0070C0"/>
          <w:sz w:val="21"/>
          <w:szCs w:val="21"/>
        </w:rPr>
        <w:t>考向二：经济与社会——正确政绩观引领高质量发展与共同富裕</w:t>
      </w:r>
    </w:p>
    <w:p w14:paraId="56FCBDA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各地践行正确政绩观，摒弃粗放式发展模式，聚焦高质量发展，一方面，加大科技创新投入，培育高新技术产业，推动产业转型升级；另一方面，坚守生态底线，推进绿色发展，改善生态环境，同时加大民生投入，推进乡村振兴，缩小城乡差距，让发展成果更多更公平惠及全体人民。这些举措体现的经济道理是（ ）</w:t>
      </w:r>
    </w:p>
    <w:p w14:paraId="25EA051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①正确政绩观引领现代化经济体系建设 ②绿色发展是高质量发展的首要任务</w:t>
      </w:r>
    </w:p>
    <w:p w14:paraId="03B539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③共同富裕是社会主义的本质要求 ④科技创新是推动发展的根本动力</w:t>
      </w:r>
    </w:p>
    <w:p w14:paraId="1B8D8A6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586C2C2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某省践行正确政绩观，立足长远发展，坚决摒弃“唯GDP论”，推动经济社会高质量发展：加大科技创新投入，重点支持核心技术研发，高新技术产业产值同比增长38%；推进生态保护和修复，关停高污染企业，推动绿色产业发展，空气质量优良率达96%；加大民生投入，完善教育、医疗、养老等公共服务，推进乡村振兴，农村居民人均可支配收入同比增长13%，城乡收入差距持续缩小，实现了经济发展、生态保护与民生改善的协同推进。</w:t>
      </w:r>
    </w:p>
    <w:p w14:paraId="20B5A29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结合材料，运用《经济与社会》知识，分析践行正确政绩观对推动高质量发展、实现共同富裕的作用。</w:t>
      </w:r>
    </w:p>
    <w:p w14:paraId="45BA8500">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7" name="图片 237"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2CE472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sz w:val="22"/>
        </w:rPr>
        <mc:AlternateContent>
          <mc:Choice Requires="wps">
            <w:drawing>
              <wp:inline distT="0" distB="0" distL="114300" distR="114300">
                <wp:extent cx="6219825" cy="1016635"/>
                <wp:effectExtent l="6350" t="6350" r="22225" b="24765"/>
                <wp:docPr id="238" name="文本框 238"/>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意义类主观题，遵循“举措→原理→作用”的思路，结合材料数据增强说服力，每点均突出“正确政绩观的引领作用”，对接高质量发展（创新、绿色）、共同富裕（增收、缩差距）的核心要求，避免泛谈。</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98" style="width:489.75pt;height:80.05pt" arcsize="5680f" coordsize="21600,21600" filled="t" fillcolor="#fce6d5" stroked="t" strokecolor="#249087">
                <v:fill opacity="26214f"/>
                <v:stroke joinstyle="round" dashstyle="longDashDotDot"/>
                <o:lock v:ext="edit" aspectratio="f"/>
                <v:textbox>
                  <w:txbxContent>
                    <w:p w14:paraId="14BEC6F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意义类主观题，遵循“举措→原理→作用”的思路，结合材料数据增强说服力，每点均突出“正确政绩观的引领作用”，对接高质量发展（创新、绿色）、共同富裕（增收、缩差距）的核心要求，避免泛谈。</w:t>
                      </w:r>
                    </w:p>
                    <w:p w14:paraId="43EB9733"/>
                  </w:txbxContent>
                </v:textbox>
                <w10:anchorlock/>
              </v:roundrect>
            </w:pict>
          </mc:Fallback>
        </mc:AlternateContent>
      </w:r>
      <w:r>
        <w:rPr>
          <w:rFonts w:ascii="宋体" w:eastAsia="宋体" w:hAnsi="宋体" w:cs="宋体" w:hint="eastAsia"/>
          <w:b/>
          <w:color w:val="0070C0"/>
          <w:sz w:val="21"/>
          <w:szCs w:val="21"/>
        </w:rPr>
        <w:t>考向三：中国特色社会主义——正确政绩观与中国式现代化的推进</w:t>
      </w:r>
    </w:p>
    <w:p w14:paraId="12A0188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持续推动党员干部树立和践行正确的政绩观，聚焦为民造福，推动高质量发展，坚守生态底线，推进共同富裕，既立足当下解决群众急难愁盼问题，又着眼长远谋划事业发展，彰显了中国特色社会主义制度的优越性。这表明（ ）</w:t>
      </w:r>
    </w:p>
    <w:p w14:paraId="7C51195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①正确政绩观是推进中国式现代化的重要指引 </w:t>
      </w:r>
    </w:p>
    <w:p w14:paraId="045E345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②中国式现代化的核心是为民造福</w:t>
      </w:r>
    </w:p>
    <w:p w14:paraId="1923EE6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③正确政绩观彰显中国特色社会主义制度优势 </w:t>
      </w:r>
    </w:p>
    <w:p w14:paraId="5A2F820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④中国式现代化不需要追求经济增长</w:t>
      </w:r>
    </w:p>
    <w:p w14:paraId="4CEE095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3BE5D9D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立足中国式现代化全局，推动党员干部树立和践行正确的政绩观，始终坚持以人民为中心的发展思想，既注重解决当下民生难题，推进教育、医疗、养老等公共服务均等化；又着眼长远，推动科技创新、生态保护、区域协调发展，破解发展不平衡不充分问题；同时，坚持实事求是，因地制宜推动发展，不搞“一刀切”，彰显了中国特色社会主义制度的独特优势，为中国式现代化注入强劲动力。</w:t>
      </w:r>
    </w:p>
    <w:p w14:paraId="5E3EC66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结合材料，运用《中国特色社会主义》知识，说明树立和践行正确的政绩观对推进中国式现代化的意义。</w:t>
      </w:r>
    </w:p>
    <w:p w14:paraId="7680A8C3">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5" name="图片 235"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21A28ED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236" name="文本框 236"/>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正确政绩观的实践与这些特征一一对应，每点均突出“对中国式现代化的具体意义”，提升政治站位，避免脱离中国式现代化泛谈作用，术语规范、逻辑连贯。</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099" style="width:489.75pt;height:80.05pt" arcsize="5680f" coordsize="21600,21600" filled="t" fillcolor="#fce6d5" stroked="t" strokecolor="#249087">
                <v:fill opacity="26214f"/>
                <v:stroke joinstyle="round" dashstyle="longDashDotDot"/>
                <o:lock v:ext="edit" aspectratio="f"/>
                <v:textbox>
                  <w:txbxContent>
                    <w:p w14:paraId="5C943D7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正确政绩观的实践与这些特征一一对应，每点均突出“对中国式现代化的具体意义”，提升政治站位，避免脱离中国式现代化泛谈作用，术语规范、逻辑连贯。</w:t>
                      </w:r>
                    </w:p>
                    <w:p w14:paraId="5308B850"/>
                  </w:txbxContent>
                </v:textbox>
                <w10:anchorlock/>
              </v:roundrect>
            </w:pict>
          </mc:Fallback>
        </mc:AlternateContent>
      </w:r>
      <w:r>
        <w:rPr>
          <w:rFonts w:ascii="宋体" w:eastAsia="宋体" w:hAnsi="宋体" w:cs="宋体" w:hint="eastAsia"/>
          <w:b/>
          <w:color w:val="0070C0"/>
          <w:sz w:val="21"/>
          <w:szCs w:val="21"/>
        </w:rPr>
        <w:t>考向四：哲学与文化——正确政绩观的哲学依据与文化支撑</w:t>
      </w:r>
    </w:p>
    <w:p w14:paraId="7B16D8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推动党员干部树立和践行正确的政绩观，要求党员干部既要立足国家发展全局，谋划长远政绩，又要聚焦基层实际，解决群众急难愁盼问题；既要重视经济发展，又要坚守生态底线，实现经济发展与生态保护协同推进。这体现的唯物辩证法道理是（ ）</w:t>
      </w:r>
    </w:p>
    <w:p w14:paraId="1CB68AB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①坚持整体与部分的辩证统一 </w:t>
      </w:r>
    </w:p>
    <w:p w14:paraId="3951609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②坚持两点论与重点论的统一</w:t>
      </w:r>
    </w:p>
    <w:p w14:paraId="40D1E50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③坚持量变与质变的辩证统一 </w:t>
      </w:r>
    </w:p>
    <w:p w14:paraId="38C3AF8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④坚持矛盾普遍性与特殊性的统一</w:t>
      </w:r>
    </w:p>
    <w:p w14:paraId="11EC069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lang w:eastAsia="zh-CN"/>
        </w:rPr>
      </w:pPr>
      <w:r>
        <w:rPr>
          <w:rFonts w:ascii="宋体" w:eastAsia="宋体" w:hAnsi="宋体" w:cs="宋体" w:hint="eastAsia"/>
          <w:sz w:val="21"/>
          <w:szCs w:val="21"/>
        </w:rPr>
        <w:t>A. ①② B. ①③ C. ②④ D. ③④</w:t>
      </w:r>
    </w:p>
    <w:p w14:paraId="7559F93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在推动党员干部树立和践行正确的政绩观过程中，注重文化引领，传承中华优秀传统文化中“民为邦本”“功在千秋”的理念，结合新时代实践，培育“真抓实干、为民造福”的政绩观精神；加强社会主义核心价值观教育，引导党员干部树立正确的权力观、政绩观、事业观；同时，加强精神文明建设，宣传践行正确政绩观的先进典型，营造崇尚实干、反对形式主义的良好氛围，为践行正确政绩观提供强大文化支撑。</w:t>
      </w:r>
    </w:p>
    <w:p w14:paraId="122DB7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结合材料，运用《哲学与文化》知识，说明文化建设对树立和践行正确政绩观的支撑作用。</w:t>
      </w:r>
    </w:p>
    <w:p w14:paraId="464AF7E2">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12" name="图片 21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68F75F06">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lang w:val="en-US" w:eastAsia="zh-CN"/>
        </w:rPr>
      </w:pPr>
      <w:r>
        <w:rPr>
          <w:sz w:val="22"/>
        </w:rPr>
        <mc:AlternateContent>
          <mc:Choice Requires="wps">
            <w:drawing>
              <wp:inline distT="0" distB="0" distL="114300" distR="114300">
                <wp:extent cx="6219825" cy="1016635"/>
                <wp:effectExtent l="6350" t="6350" r="22225" b="24765"/>
                <wp:docPr id="213" name="文本框 21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eastAsia="宋体" w:hint="eastAsia"/>
                                <w:lang w:eastAsia="zh-CN"/>
                              </w:rPr>
                            </w:pPr>
                            <w:r>
                              <w:rPr>
                                <w:rFonts w:ascii="宋体" w:eastAsia="宋体" w:hAnsi="宋体" w:cs="宋体" w:hint="eastAsia"/>
                                <w:sz w:val="21"/>
                                <w:szCs w:val="21"/>
                              </w:rPr>
                              <w:t>跨模块主观题（哲学+文化），先明确两个知识角度，避免遗漏；哲学角度优先对接与“精神、价值观”相关的原理，文化角度紧扣“文化支撑”的核心，结合材料中文化建设的具体举措，每点均体现“文化→正确政绩观”的逻辑，避免泛谈文化作用。</w:t>
                            </w:r>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00" style="width:489.75pt;height:80.05pt" arcsize="5680f" coordsize="21600,21600" filled="t" fillcolor="#fce6d5" stroked="t" strokecolor="#249087">
                <v:fill opacity="26214f"/>
                <v:stroke joinstyle="round" dashstyle="longDashDotDot"/>
                <o:lock v:ext="edit" aspectratio="f"/>
                <v:textbox>
                  <w:txbxContent>
                    <w:p w14:paraId="2E99C68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eastAsia="宋体" w:hint="eastAsia"/>
                          <w:lang w:eastAsia="zh-CN"/>
                        </w:rPr>
                      </w:pPr>
                      <w:r>
                        <w:rPr>
                          <w:rFonts w:ascii="宋体" w:eastAsia="宋体" w:hAnsi="宋体" w:cs="宋体" w:hint="eastAsia"/>
                          <w:sz w:val="21"/>
                          <w:szCs w:val="21"/>
                        </w:rPr>
                        <w:t>跨模块主观题（哲学+文化），先明确两个知识角度，避免遗漏；哲学角度优先对接与“精神、价值观”相关的原理，文化角度紧扣“文化支撑”的核心，结合材料中文化建设的具体举措，每点均体现“文化→正确政绩观”的逻辑，避免泛谈文化作用。</w:t>
                      </w:r>
                    </w:p>
                  </w:txbxContent>
                </v:textbox>
                <w10:anchorlock/>
              </v:roundrect>
            </w:pict>
          </mc:Fallback>
        </mc:AlternateContent>
      </w:r>
      <w:r>
        <w:rPr>
          <w:sz w:val="28"/>
        </w:rPr>
        <mc:AlternateContent>
          <mc:Choice Requires="wpg">
            <w:drawing>
              <wp:inline distT="0" distB="0" distL="114300" distR="114300">
                <wp:extent cx="203200" cy="280035"/>
                <wp:effectExtent l="0" t="0" r="25400" b="5715"/>
                <wp:docPr id="81" name="组合 81"/>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82"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3"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88"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01" style="width:16pt;height:22.05pt" coordorigin="6081,38224" coordsize="389,536">
                <o:lock v:ext="edit" aspectratio="f"/>
                <v:roundrect id="圆角矩形 13" o:spid="_x0000_s1102" style="width:113;height:340;flip:x;left:6358;position:absolute;rotation:13;top:38413;v-text-anchor:middle" arcsize="10923f" coordsize="21600,21600" filled="t" fillcolor="#7ddfd7" stroked="f">
                  <v:stroke joinstyle="miter"/>
                  <o:lock v:ext="edit" aspectratio="f"/>
                </v:roundrect>
                <v:roundrect id="矩形 16" o:spid="_x0000_s1103" style="width:113;height:412;flip:x;left:6225;position:absolute;rotation:8;top:38343;v-text-anchor:middle" arcsize="10923f" coordsize="21600,21600" filled="t" fillcolor="#c81d31" stroked="f">
                  <v:stroke joinstyle="miter"/>
                  <o:lock v:ext="edit" aspectratio="f"/>
                </v:roundrect>
                <v:roundrect id="圆角矩形 14" o:spid="_x0000_s110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0CE031C6">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6888553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关于树立和践行正确的政绩观，习近平总书记强调，党员干部要做到“该为的必须为、能为的努力为、不该为的决不为”，这一重要论述是马克思主义立场观点方法在干事创业中的生动运用。这启示广大党员干部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3C763A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①坚定“必须为”，通过“时时放心不下”的责任感强化使命担当</w:t>
      </w:r>
    </w:p>
    <w:p w14:paraId="334DD36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②主动“努力为”，恪守“心有畏、言有戒”的敬畏心确保价值实现</w:t>
      </w:r>
    </w:p>
    <w:p w14:paraId="6231E3C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③自觉“决不为”，秉持“跳起来摘桃子”的进取心突破自身局限</w:t>
      </w:r>
    </w:p>
    <w:p w14:paraId="2172C85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④把握好“为”与“不为”的界限，使“为”有效、“不为”有据</w:t>
      </w:r>
    </w:p>
    <w:p w14:paraId="39BA1C7E">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556A3D4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正确的政绩观是为政之德、从政之道、施政之要。某县立足乡村发展实际，坚决摒弃“形象工程”，深入村组调研村民真实需求，以“千万工程”为抓手，聚焦人居环境改善、养老服务升级等民生实事，实干笃行解民忧，将群众口碑作为衡量政绩的重要标尺。这启示政府部门，践行正确的政绩观需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9E09A2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①立足本地实际，发扬求真务实的工作作风</w:t>
      </w:r>
    </w:p>
    <w:p w14:paraId="46DCDDF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②坚持依法行政，以机构改革推进民生建设</w:t>
      </w:r>
    </w:p>
    <w:p w14:paraId="3690B3E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③聚焦民生需求，坚持人民至上的价值导向</w:t>
      </w:r>
    </w:p>
    <w:p w14:paraId="5E93C20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④强化内部监督，以数据指标作为政绩标尺</w:t>
      </w:r>
    </w:p>
    <w:p w14:paraId="0C5FCBD2">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685B042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正确政绩观要求我们坚持从实际出发、按规律办事，通过科学决策和实干苦干，创造经得起实践和历史检验、真正造福人民、得到群众公认的业绩。”“十五五”开局之年，习近平总书记号召党员干部树立和践行正确政绩观，投身民族复兴的关键一程。由此可见，正确的政绩观（</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F42081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①是决定民族复兴成败的价值选择</w:t>
      </w:r>
    </w:p>
    <w:p w14:paraId="660EAAF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②是党员干部干事创业的科学指引</w:t>
      </w:r>
    </w:p>
    <w:p w14:paraId="015010D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③要在发挥主观能动性基础上真抓实干</w:t>
      </w:r>
    </w:p>
    <w:p w14:paraId="52AC440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④把人民群众的利益作为最高的价值标准</w:t>
      </w:r>
    </w:p>
    <w:p w14:paraId="4800DF4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0CC897C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待办现象”本质上是用语言套路掩盖行动惰性。究其原因，一方面是部分干部重表态轻落实，认为待办表态既能显示问题意识，又不用承担具体责任；还有一些干部缺乏破解难题的方法，用待办来掩饰能力的不足。另一方面，少数单位对问题整改缺乏闭环管理，既不明确时限，也不跟踪问效，进一步助长了“待办即办结”的错误认知。由此可见，破解“待办现象”需要党员干部（</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1282E8C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①务必树立正确的政绩观，以问题清零赢得群众的满意</w:t>
      </w:r>
    </w:p>
    <w:p w14:paraId="5C65C1A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②扩大自身职责范围，全方位解决群众面临的实际难题</w:t>
      </w:r>
    </w:p>
    <w:p w14:paraId="521099C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③坚持求真务实的工作作风，力戒形式主义、官僚主义</w:t>
      </w:r>
    </w:p>
    <w:p w14:paraId="3499E4E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④既要维护党的特殊利益，又要履行好党员的神圣职责</w:t>
      </w:r>
    </w:p>
    <w:p w14:paraId="55326CC8">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3FACABC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千丈之堤，以蝼蚁之穴溃；百尺之室，以突隙之烟焚。”习近平总书记在二十届中央纪委四次全会上指出，要深入推进风腐同查同治，强调“坚持正风肃纪反腐相贯通，以‘同查’严惩风腐交织问题，以‘同治’铲除风腐共性根源”。这一重要论述（</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6DAD2F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①为深入推进全面从严治党做出重要指导</w:t>
      </w:r>
    </w:p>
    <w:p w14:paraId="4CC24D9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②彰显了勇于自我革命是中国共产党的优秀品质</w:t>
      </w:r>
    </w:p>
    <w:p w14:paraId="0347C89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③表明要以党的纪律建设为统领，深入推进反腐败斗争</w:t>
      </w:r>
    </w:p>
    <w:p w14:paraId="57F1EF9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④要求党员要树立正确的政绩观，发挥战斗堡垒作用</w:t>
      </w:r>
    </w:p>
    <w:p w14:paraId="04BB788C">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449CE51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看到泡桐树，想起焦裕禄：见到木麻黄，想起谷文昌。”先进模范是“看得见的哲理”。在福建省漳州市东山县考察时，习近平总书记来到谷文昌纪念馆，强调“学习谷文昌同志，不仅要高山仰止，还要见贤思齐，像他那样做人、为政”。这启示党员干部（</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AC1E3A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①以榜样为镜观照自我，树立正确的政绩观</w:t>
      </w:r>
      <w:r>
        <w:rPr>
          <w:rFonts w:ascii="Times New Roman" w:eastAsia="Times New Roman" w:hAnsi="Times New Roman" w:cs="Times New Roman" w:hint="default"/>
          <w:kern w:val="0"/>
          <w:sz w:val="24"/>
          <w:szCs w:val="24"/>
        </w:rPr>
        <w:t>   </w:t>
      </w:r>
    </w:p>
    <w:p w14:paraId="6C10F74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②发挥先锋模范作用，全心全意为人民服务</w:t>
      </w:r>
    </w:p>
    <w:p w14:paraId="42402C0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③以制度建设为统领不断推进党的自我革命</w:t>
      </w:r>
      <w:r>
        <w:rPr>
          <w:rFonts w:ascii="Times New Roman" w:eastAsia="Times New Roman" w:hAnsi="Times New Roman" w:cs="Times New Roman" w:hint="default"/>
          <w:kern w:val="0"/>
          <w:sz w:val="24"/>
          <w:szCs w:val="24"/>
        </w:rPr>
        <w:t>   </w:t>
      </w:r>
    </w:p>
    <w:p w14:paraId="0F9B8A7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④必须认识到全面从严治党的关键在于全面</w:t>
      </w:r>
    </w:p>
    <w:p w14:paraId="282E1156">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B．①③</w:t>
      </w:r>
      <w:r>
        <w:rPr>
          <w:rFonts w:ascii="Times New Roman" w:hAnsi="Times New Roman" w:cs="Times New Roman" w:hint="default"/>
          <w:sz w:val="21"/>
        </w:rPr>
        <w:tab/>
      </w:r>
      <w:r>
        <w:rPr>
          <w:rFonts w:ascii="Times New Roman" w:hAnsi="Times New Roman" w:cs="Times New Roman" w:hint="default"/>
          <w:sz w:val="21"/>
        </w:rPr>
        <w:t>C．②④</w:t>
      </w:r>
      <w:r>
        <w:rPr>
          <w:rFonts w:ascii="Times New Roman" w:hAnsi="Times New Roman" w:cs="Times New Roman" w:hint="default"/>
          <w:sz w:val="21"/>
        </w:rPr>
        <w:tab/>
      </w:r>
      <w:r>
        <w:rPr>
          <w:rFonts w:ascii="Times New Roman" w:hAnsi="Times New Roman" w:cs="Times New Roman" w:hint="default"/>
          <w:sz w:val="21"/>
        </w:rPr>
        <w:t>D．③④</w:t>
      </w:r>
    </w:p>
    <w:p w14:paraId="3236481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7．漫画“层层转发”（国家监察委员会网站制作）启示我们（</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33CB39CF">
      <w:pPr>
        <w:shd w:val="clear" w:color="auto" w:fill="auto"/>
        <w:spacing w:line="360" w:lineRule="auto"/>
        <w:jc w:val="left"/>
        <w:textAlignment w:val="center"/>
        <w:rPr>
          <w:rFonts w:ascii="Times New Roman" w:hAnsi="Times New Roman" w:cs="Times New Roman" w:hint="default"/>
          <w:sz w:val="21"/>
        </w:rPr>
      </w:pPr>
      <w:r>
        <w:rPr>
          <w:rFonts w:ascii="Times New Roman" w:eastAsia="Times New Roman" w:hAnsi="Times New Roman" w:cs="Times New Roman" w:hint="default"/>
          <w:strike w:val="0"/>
          <w:kern w:val="0"/>
          <w:sz w:val="24"/>
          <w:szCs w:val="24"/>
          <w:u w:val="none"/>
        </w:rPr>
        <w:drawing>
          <wp:inline distT="0" distB="0" distL="114300" distR="114300">
            <wp:extent cx="2028825" cy="2028825"/>
            <wp:effectExtent l="0" t="0" r="9525" b="9525"/>
            <wp:docPr id="234" name="图片 234" descr="@@@ee52fe94-346f-4cbb-9bf4-1ba4e0fde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图片 234" descr="@@@ee52fe94-346f-4cbb-9bf4-1ba4e0fde508"/>
                    <pic:cNvPicPr>
                      <a:picLocks noChangeAspect="1"/>
                    </pic:cNvPicPr>
                  </pic:nvPicPr>
                  <pic:blipFill>
                    <a:blip xmlns:r="http://schemas.openxmlformats.org/officeDocument/2006/relationships" r:embed="rId12"/>
                    <a:stretch>
                      <a:fillRect/>
                    </a:stretch>
                  </pic:blipFill>
                  <pic:spPr>
                    <a:xfrm>
                      <a:off x="0" y="0"/>
                      <a:ext cx="2028825" cy="2028825"/>
                    </a:xfrm>
                    <a:prstGeom prst="rect">
                      <a:avLst/>
                    </a:prstGeom>
                  </pic:spPr>
                </pic:pic>
              </a:graphicData>
            </a:graphic>
          </wp:inline>
        </w:drawing>
      </w:r>
    </w:p>
    <w:p w14:paraId="0C2FDEC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①要树立正确的政绩观</w:t>
      </w:r>
    </w:p>
    <w:p w14:paraId="4DF854C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②要发挥人的主观能动性</w:t>
      </w:r>
    </w:p>
    <w:p w14:paraId="2B03514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③要因时而变、因人而异</w:t>
      </w:r>
    </w:p>
    <w:p w14:paraId="631CE97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④要反对官僚主义、形式主义</w:t>
      </w:r>
    </w:p>
    <w:p w14:paraId="2A65534E">
      <w:pPr>
        <w:shd w:val="clear" w:color="auto" w:fill="auto"/>
        <w:tabs>
          <w:tab w:val="left" w:pos="4156"/>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cs="Times New Roman" w:hint="eastAsia"/>
          <w:sz w:val="21"/>
          <w:lang w:val="en-US" w:eastAsia="zh-CN"/>
        </w:rPr>
        <w:t xml:space="preserve">  </w:t>
      </w:r>
      <w:r>
        <w:rPr>
          <w:rFonts w:ascii="Times New Roman" w:hAnsi="Times New Roman" w:cs="Times New Roman" w:hint="default"/>
          <w:sz w:val="21"/>
        </w:rPr>
        <w:t>B．①④</w:t>
      </w:r>
      <w:r>
        <w:rPr>
          <w:rFonts w:cs="Times New Roman" w:hint="eastAsia"/>
          <w:sz w:val="21"/>
          <w:lang w:val="en-US" w:eastAsia="zh-CN"/>
        </w:rPr>
        <w:t xml:space="preserve">  </w:t>
      </w:r>
      <w:r>
        <w:rPr>
          <w:rFonts w:ascii="Times New Roman" w:hAnsi="Times New Roman" w:cs="Times New Roman" w:hint="default"/>
          <w:sz w:val="21"/>
        </w:rPr>
        <w:t>C．②③</w:t>
      </w:r>
      <w:r>
        <w:rPr>
          <w:rFonts w:cs="Times New Roman" w:hint="eastAsia"/>
          <w:sz w:val="21"/>
          <w:lang w:val="en-US" w:eastAsia="zh-CN"/>
        </w:rPr>
        <w:t xml:space="preserve">  </w:t>
      </w:r>
      <w:r>
        <w:rPr>
          <w:rFonts w:ascii="Times New Roman" w:hAnsi="Times New Roman" w:cs="Times New Roman" w:hint="default"/>
          <w:sz w:val="21"/>
        </w:rPr>
        <w:t>D．②④</w:t>
      </w:r>
    </w:p>
    <w:p w14:paraId="74B510A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悟其理，行其道，方能一往无前、行稳致远。习近平总书记强调，为民造福是最大政绩，要树立和践行正确政绩观，坚持从实际出发、按规律办事，自觉为人民出政绩、以实干出政绩。树立和践行正确的政绩观（</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6F8F30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①是由党的性质、立场、宗旨和人民的主体地位决定的</w:t>
      </w:r>
    </w:p>
    <w:p w14:paraId="2F45AD0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②要以科学执政为基本途径，按客观规律执好政、掌好权</w:t>
      </w:r>
    </w:p>
    <w:p w14:paraId="248986B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③要以党的思想建设为统领，调动全党的主动性、创造性</w:t>
      </w:r>
    </w:p>
    <w:p w14:paraId="32736C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④能够健全全面从严治党体系，保持党的先进性和纯洁性</w:t>
      </w:r>
    </w:p>
    <w:p w14:paraId="0E418E1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16D2D64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在黄河流经的兰考大地上，焦裕禄同志用生命书写了共产党人的初心答卷。新时代新征程，面对复杂多变的国内外形势和艰巨繁重的改革发展任务，深入学习焦裕禄精神，对于广大党员干部树立正确的权力观、政绩观、事业观，永葆共产党人的政治本色，具有至关重要的意义。这启示广大中国共产党员应该（</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10AF45C">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A．要克己奉公、无私奉献，做密切联系群众的模范</w:t>
      </w:r>
    </w:p>
    <w:p w14:paraId="62510F4A">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B．应不断提高自身素质，成为人民群众的主心骨</w:t>
      </w:r>
    </w:p>
    <w:p w14:paraId="5FE44769">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C．要发挥战斗堡垒作用，以自身行动践行党的宗旨</w:t>
      </w:r>
    </w:p>
    <w:p w14:paraId="70988FE9">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D．要确立初心、牢记使命，维护好人民的根本利益</w:t>
      </w:r>
    </w:p>
    <w:p w14:paraId="71FC00E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10．2026年1月16日，中央层面整治形式主义为基层减负专项工作机制会议在京召开。各级党员干部要树立正确的政绩观，多做打基础、增后劲、利长远的事，做到“减负不减作为”（如图）。这表明中国共产党（</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95B1583">
      <w:pPr>
        <w:shd w:val="clear" w:color="auto" w:fill="auto"/>
        <w:spacing w:line="360" w:lineRule="auto"/>
        <w:jc w:val="both"/>
        <w:textAlignment w:val="center"/>
        <w:rPr>
          <w:rFonts w:ascii="Times New Roman" w:hAnsi="Times New Roman" w:cs="Times New Roman" w:hint="default"/>
          <w:sz w:val="21"/>
        </w:rPr>
      </w:pPr>
      <w:r>
        <w:rPr>
          <w:rFonts w:ascii="Times New Roman" w:eastAsia="Times New Roman" w:hAnsi="Times New Roman" w:cs="Times New Roman" w:hint="default"/>
          <w:strike w:val="0"/>
          <w:kern w:val="0"/>
          <w:sz w:val="24"/>
          <w:szCs w:val="24"/>
          <w:u w:val="none"/>
        </w:rPr>
        <w:drawing>
          <wp:inline distT="0" distB="0" distL="114300" distR="114300">
            <wp:extent cx="2457450" cy="1695450"/>
            <wp:effectExtent l="0" t="0" r="0" b="0"/>
            <wp:docPr id="100005" name="图片 100005" descr="@@@a9eada03-4e20-47f9-abcf-6ffb656458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a9eada03-4e20-47f9-abcf-6ffb656458ff"/>
                    <pic:cNvPicPr>
                      <a:picLocks noChangeAspect="1"/>
                    </pic:cNvPicPr>
                  </pic:nvPicPr>
                  <pic:blipFill>
                    <a:blip xmlns:r="http://schemas.openxmlformats.org/officeDocument/2006/relationships" r:embed="rId13"/>
                    <a:stretch>
                      <a:fillRect/>
                    </a:stretch>
                  </pic:blipFill>
                  <pic:spPr>
                    <a:xfrm>
                      <a:off x="0" y="0"/>
                      <a:ext cx="2457450" cy="1695450"/>
                    </a:xfrm>
                    <a:prstGeom prst="rect">
                      <a:avLst/>
                    </a:prstGeom>
                  </pic:spPr>
                </pic:pic>
              </a:graphicData>
            </a:graphic>
          </wp:inline>
        </w:drawing>
      </w:r>
    </w:p>
    <w:p w14:paraId="02CCFC6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①坚持民主执政，发挥人民群众首创精神</w:t>
      </w:r>
      <w:r>
        <w:rPr>
          <w:rFonts w:ascii="Times New Roman" w:eastAsia="Times New Roman" w:hAnsi="Times New Roman" w:cs="Times New Roman" w:hint="default"/>
          <w:kern w:val="0"/>
          <w:sz w:val="24"/>
          <w:szCs w:val="24"/>
        </w:rPr>
        <w:t>    </w:t>
      </w:r>
    </w:p>
    <w:p w14:paraId="5C0264A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②勇于自我革命，纵深推进全面从严治党</w:t>
      </w:r>
    </w:p>
    <w:p w14:paraId="218F0F2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③既重减负又重提质，执法严明提高效能</w:t>
      </w:r>
      <w:r>
        <w:rPr>
          <w:rFonts w:ascii="Times New Roman" w:eastAsia="Times New Roman" w:hAnsi="Times New Roman" w:cs="Times New Roman" w:hint="default"/>
          <w:kern w:val="0"/>
          <w:sz w:val="24"/>
          <w:szCs w:val="24"/>
        </w:rPr>
        <w:t>    </w:t>
      </w:r>
    </w:p>
    <w:p w14:paraId="631F0BB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④既重显绩又重潜绩，求真务实勇于担当</w:t>
      </w:r>
    </w:p>
    <w:p w14:paraId="62A5D583">
      <w:pPr>
        <w:shd w:val="clear" w:color="auto" w:fill="auto"/>
        <w:tabs>
          <w:tab w:val="left" w:pos="2078"/>
          <w:tab w:val="left" w:pos="4156"/>
          <w:tab w:val="left" w:pos="6234"/>
        </w:tabs>
        <w:spacing w:line="360" w:lineRule="auto"/>
        <w:ind w:left="380"/>
        <w:jc w:val="left"/>
        <w:textAlignment w:val="center"/>
        <w:rPr>
          <w:rFonts w:ascii="Times New Roman" w:eastAsia="黑体" w:hAnsi="Times New Roman" w:cs="Times New Roman" w:hint="eastAsia"/>
          <w:b/>
          <w:i w:val="0"/>
          <w:color w:val="000000"/>
          <w:sz w:val="30"/>
          <w:lang w:eastAsia="zh-CN"/>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7043B712">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256C5A2C">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hAnsi="Times New Roman" w:cs="Times New Roman" w:hint="default"/>
          <w:sz w:val="21"/>
        </w:rPr>
        <w:t>11．</w:t>
      </w:r>
      <w:r>
        <w:rPr>
          <w:rFonts w:ascii="Times New Roman" w:eastAsia="楷体" w:hAnsi="Times New Roman" w:cs="Times New Roman" w:hint="default"/>
          <w:sz w:val="21"/>
        </w:rPr>
        <w:t>数字时代，政务新媒体、应用程序等不断涌现，对于推进政务公开、优化政务服务、创新社会治理具有积极作用。然而，一些地方的政务数字化进程却变味走样：泛滥的工作群、眼花缭乱的政务平台、不同条线、不同层级部门的网上材料填报任务，有的制度规定不健全，监督管理不到位……基层干部疲于应付，深受“指尖之苦”。</w:t>
      </w:r>
    </w:p>
    <w:p w14:paraId="23F0DEB4">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2024年8月，中共中央办公厅、国务院办公厅印发了《整治形式主义为基层减负若干规定》。规定回应基层干部群众关切与期盼，把解决形式主义突出问题和为基层减负相结合。规定要求，各地区各部门要进一步加强思想教育引导，督促基层领导干部树立正确的政绩观和权力观，把为人民造福的事情办好办实；各级领导机关和领导干部要带头转变工作理念，带头改进工作方式，上下联动把形式主义官僚主义歪风压下去，不搞指尖上的形式主义，让数字政务回归本质。</w:t>
      </w:r>
    </w:p>
    <w:p w14:paraId="6C91763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有人说：“只要政府做好减法，就能卸下‘指尖’之负，增治理之效。”请结合材料，运用《政治与法治》有关知识评析该观点。</w:t>
      </w:r>
    </w:p>
    <w:p w14:paraId="605F3BB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12．阅读材料，完成下列要求。</w:t>
      </w:r>
    </w:p>
    <w:p w14:paraId="3ABD3A1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党的十八大以来，习近平总书记反复强调“干事创业一定要树立正确政绩观”。在河北正定工作期间，他要求“每个部门、每个单位、每个党员的工作都必须服从和服务于国家建设和改革的大局”；在福建工作期间，他倡导“滴水穿石”精神、“弱鸟先飞”意识，不搞上任伊始“烧三把火”，也不搞“三天打鱼、两天晒网”；在浙江工作期间，他强调“要甘于做铺垫之事”“积小胜为大胜”；在上海工作期间，他要求各级干部“要多干群众急需的事，多干群众受益的事，多干打基础的事，多干长远起作用的事”。在以习近平同志为核心的党中央坚强领导下，绝大多数党员干部树立和践行正确政绩观，完成脱贫攻坚、全面建成小康社会的历史任务，推动发展的平衡性、协调性、包容性持续提高，我国高质量发展不断取得新成效。</w:t>
      </w:r>
    </w:p>
    <w:p w14:paraId="2804CF7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(1)结合材料，运用政治与法治知识，说明党员干部“干事创业一定要树立正确政绩观”的理由。</w:t>
      </w:r>
    </w:p>
    <w:p w14:paraId="3E985E5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(2)结合材料，就如何引导广大党员干部树立和践行正确的政绩观提出两点合理化建议。</w:t>
      </w:r>
    </w:p>
    <w:p w14:paraId="4301A8B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13．阅读材料，回答下列问题。</w:t>
      </w:r>
    </w:p>
    <w:p w14:paraId="1602F8A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正确的政绩观，是为政之德、从政之道、施政之要。树立和践行正确政绩观，起决定性作用的是党性。</w:t>
      </w:r>
    </w:p>
    <w:p w14:paraId="0C79F8F8">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2023年4月10日至13日，习近平先后来到湛江、茂名、广州等地，深入企业、港口、农村等进行调研。2023年9月在黑龙江，习总书记说：“要建立健全理论学习、调查研究、推动高质量发展、密切联系群众、防止形式主义和官僚主义等长效机制，巩固发展主题教育成果”。</w:t>
      </w:r>
    </w:p>
    <w:p w14:paraId="1487F52B">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2023年12月，习总书记到广西壮族自治区考察，进企业、入社区、下农田、看工厂……指出“做活广西高质量发展这盘棋，棋眼就在扩大开放上”。2024年3月18日，习近平总书记赴湖南考察，在长沙主持召开新时代推动中部地区崛起座谈会，并到湖南第一师范学院（城南书院校区）考察调研，该校校训“要做人民的先生，先做人民的学生”，为一师学生毛泽东所题；校风“实事求是，不自以为是”，为一师老师徐特立所写。</w:t>
      </w:r>
    </w:p>
    <w:p w14:paraId="6ACCADA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(1)结合材料，运用《政治与法治》的知识，说明习近平总书记为什么重视到不同地区进行考察调研。</w:t>
      </w:r>
    </w:p>
    <w:p w14:paraId="3590211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(2)结合材料，运用价值观的知识，说明党员干部树立和践行正确的政绩观的重大意义。</w:t>
      </w:r>
    </w:p>
    <w:p w14:paraId="135D1DB7">
      <w:pPr>
        <w:keepNext w:val="0"/>
        <w:keepLines w:val="0"/>
        <w:widowControl/>
        <w:numPr>
          <w:ilvl w:val="0"/>
          <w:numId w:val="0"/>
        </w:numPr>
        <w:suppressLineNumbers w:val="0"/>
        <w:pBdr>
          <w:top w:val="none" w:sz="0" w:space="0" w:color="auto"/>
          <w:left w:val="none" w:sz="0" w:space="0" w:color="auto"/>
          <w:bottom w:val="none" w:sz="0" w:space="0" w:color="auto"/>
          <w:right w:val="none" w:sz="0" w:space="0" w:color="auto"/>
        </w:pBdr>
        <w:spacing w:before="0" w:beforeAutospacing="0" w:after="0" w:afterAutospacing="0" w:line="360" w:lineRule="atLeast"/>
        <w:ind w:left="-360" w:right="0" w:leftChars="0" w:rightChars="0"/>
        <w:jc w:val="left"/>
        <w:rPr>
          <w:rFonts w:ascii="宋体" w:eastAsia="宋体" w:hAnsi="宋体" w:cs="宋体"/>
          <w:sz w:val="24"/>
          <w:szCs w:val="24"/>
        </w:rPr>
      </w:pPr>
      <w:r>
        <w:rPr>
          <w:rFonts w:ascii="隶书" w:eastAsia="隶书" w:hAnsi="隶书" w:cs="隶书" w:hint="eastAsia"/>
          <w:sz w:val="28"/>
          <w:szCs w:val="28"/>
          <w:shd w:val="clear" w:color="auto" w:fill="D4F4F1" w:themeFill="accent5" w:themeFillTint="32"/>
          <w:lang w:val="en-US" w:eastAsia="zh-CN"/>
        </w:rPr>
        <w:drawing>
          <wp:inline distT="0" distB="0" distL="114300" distR="114300">
            <wp:extent cx="226060" cy="226060"/>
            <wp:effectExtent l="0" t="0" r="2540" b="2540"/>
            <wp:docPr id="89" name="图片 89" descr="时间刷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descr="时间刷新"/>
                    <pic:cNvPicPr>
                      <a:picLocks noChangeAspect="1"/>
                    </pic:cNvPicPr>
                  </pic:nvPicPr>
                  <pic:blipFill>
                    <a:blip xmlns:r="http://schemas.openxmlformats.org/officeDocument/2006/relationships" r:embed="rId7">
                      <a:extLst>
                        <a:ext uri="{96DAC541-7B7A-43D3-8B79-37D633B846F1}">
                          <asvg:svgBlip xmlns:asvg="http://schemas.microsoft.com/office/drawing/2016/SVG/main" r:embed="rId8"/>
                        </a:ext>
                      </a:extLst>
                    </a:blip>
                    <a:stretch>
                      <a:fillRect/>
                    </a:stretch>
                  </pic:blipFill>
                  <pic:spPr>
                    <a:xfrm flipH="1">
                      <a:off x="0" y="0"/>
                      <a:ext cx="226060" cy="226060"/>
                    </a:xfrm>
                    <a:prstGeom prst="rect">
                      <a:avLst/>
                    </a:prstGeom>
                  </pic:spPr>
                </pic:pic>
              </a:graphicData>
            </a:graphic>
          </wp:inline>
        </w:drawing>
      </w:r>
      <w:r>
        <w:rPr>
          <w:rFonts w:ascii="隶书" w:eastAsia="隶书" w:hAnsi="隶书" w:cs="隶书" w:hint="eastAsia"/>
          <w:sz w:val="28"/>
          <w:szCs w:val="28"/>
          <w:shd w:val="clear" w:color="auto" w:fill="D4F4F1" w:themeFill="accent5" w:themeFillTint="32"/>
          <w:lang w:val="en-US" w:eastAsia="zh-CN"/>
        </w:rPr>
        <w:t>倒计时</w:t>
      </w:r>
      <w:r>
        <w:rPr>
          <w:rFonts w:ascii="微软雅黑" w:eastAsia="微软雅黑" w:hAnsi="微软雅黑" w:cs="微软雅黑" w:hint="eastAsia"/>
          <w:b/>
          <w:bCs/>
          <w:color w:val="C00000"/>
          <w:sz w:val="32"/>
          <w:szCs w:val="32"/>
          <w:shd w:val="clear" w:color="auto" w:fill="D4F4F1" w:themeFill="accent5" w:themeFillTint="32"/>
          <w:lang w:val="en-US" w:eastAsia="zh-CN"/>
        </w:rPr>
        <w:t>1</w:t>
      </w:r>
      <w:r>
        <w:rPr>
          <w:rFonts w:ascii="隶书" w:eastAsia="隶书" w:hAnsi="隶书" w:cs="隶书" w:hint="eastAsia"/>
          <w:sz w:val="28"/>
          <w:szCs w:val="28"/>
          <w:shd w:val="clear" w:color="auto" w:fill="D4F4F1" w:themeFill="accent5" w:themeFillTint="32"/>
          <w:lang w:val="en-US" w:eastAsia="zh-CN"/>
        </w:rPr>
        <w:t>天</w:t>
      </w:r>
      <w:r>
        <w:rPr>
          <w:rFonts w:ascii="微软雅黑" w:eastAsia="微软雅黑" w:hAnsi="微软雅黑" w:cs="微软雅黑" w:hint="eastAsia"/>
          <w:b/>
          <w:bCs/>
          <w:kern w:val="2"/>
          <w:sz w:val="28"/>
          <w:szCs w:val="28"/>
          <w:lang w:val="en-US" w:eastAsia="zh-CN" w:bidi="ar-SA"/>
        </w:rPr>
        <w:t xml:space="preserve">   </w:t>
      </w:r>
      <w:r>
        <w:rPr>
          <w:rFonts w:ascii="微软雅黑" w:eastAsia="微软雅黑" w:hAnsi="微软雅黑" w:cs="微软雅黑" w:hint="eastAsia"/>
          <w:b/>
          <w:bCs/>
          <w:kern w:val="2"/>
          <w:sz w:val="21"/>
          <w:szCs w:val="21"/>
          <w:lang w:val="en-US" w:eastAsia="zh-CN" w:bidi="ar-SA"/>
        </w:rPr>
        <w:t xml:space="preserve"> </w:t>
      </w:r>
      <w:r>
        <w:rPr>
          <w:rStyle w:val="Strong"/>
          <w:rFonts w:ascii="楷体" w:eastAsia="楷体" w:hAnsi="楷体" w:cs="楷体" w:hint="eastAsia"/>
          <w:b w:val="0"/>
          <w:bCs w:val="0"/>
          <w:color w:val="000000"/>
          <w:kern w:val="2"/>
          <w:sz w:val="21"/>
          <w:szCs w:val="21"/>
          <w:lang w:val="en-US" w:eastAsia="zh-CN" w:bidi="ar-SA"/>
        </w:rPr>
        <w:t>所有的蛰伏沉淀，都是为了厚积薄发的惊艳。—— 村上春树</w:t>
      </w:r>
    </w:p>
    <w:p w14:paraId="36A6ECD6">
      <w:pPr>
        <w:keepNext w:val="0"/>
        <w:keepLines w:val="0"/>
        <w:pageBreakBefore w:val="0"/>
        <w:widowControl w:val="0"/>
        <w:kinsoku/>
        <w:wordWrap/>
        <w:overflowPunct/>
        <w:topLinePunct w:val="0"/>
        <w:autoSpaceDE/>
        <w:autoSpaceDN/>
        <w:bidi w:val="0"/>
        <w:adjustRightInd/>
        <w:snapToGrid/>
        <w:spacing w:line="360" w:lineRule="auto"/>
        <w:jc w:val="center"/>
        <w:rPr>
          <w:rFonts w:ascii="微软雅黑" w:eastAsia="微软雅黑" w:hAnsi="微软雅黑" w:cs="微软雅黑" w:hint="eastAsia"/>
          <w:b/>
          <w:bCs/>
          <w:sz w:val="32"/>
          <w:szCs w:val="32"/>
          <w:lang w:val="en-US" w:eastAsia="zh-CN"/>
        </w:rPr>
      </w:pPr>
      <w:r>
        <w:rPr>
          <w:rFonts w:ascii="微软雅黑" w:eastAsia="微软雅黑" w:hAnsi="微软雅黑" w:cs="微软雅黑" w:hint="eastAsia"/>
          <w:b/>
          <w:bCs/>
          <w:sz w:val="32"/>
          <w:szCs w:val="32"/>
          <w:lang w:val="en-US" w:eastAsia="zh-CN"/>
        </w:rPr>
        <w:t>时政热点05：新兴消费新形态带来新活力</w:t>
      </w:r>
    </w:p>
    <w:p w14:paraId="0A8C7B19">
      <w:pPr>
        <w:keepNext w:val="0"/>
        <w:keepLines w:val="0"/>
        <w:pageBreakBefore w:val="0"/>
        <w:widowControl w:val="0"/>
        <w:kinsoku/>
        <w:wordWrap/>
        <w:overflowPunct/>
        <w:topLinePunct w:val="0"/>
        <w:autoSpaceDE/>
        <w:autoSpaceDN/>
        <w:bidi w:val="0"/>
        <w:adjustRightInd/>
        <w:snapToGrid/>
        <w:spacing w:line="360" w:lineRule="auto"/>
        <w:jc w:val="left"/>
        <w:rPr>
          <w:rFonts w:ascii="微软雅黑" w:eastAsia="微软雅黑" w:hAnsi="微软雅黑" w:cs="微软雅黑" w:hint="default"/>
          <w:b/>
          <w:bCs/>
          <w:i w:val="0"/>
          <w:iCs w:val="0"/>
          <w:color w:val="333333"/>
          <w:spacing w:val="0"/>
          <w:w w:val="100"/>
          <w:sz w:val="28"/>
          <w:szCs w:val="28"/>
          <w:vertAlign w:val="baseline"/>
          <w:lang w:val="en-US" w:eastAsia="zh-CN"/>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90" name="组合 90"/>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91"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92"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93"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05" style="width:16pt;height:22.05pt" coordorigin="6081,38224" coordsize="389,536">
                <o:lock v:ext="edit" aspectratio="f"/>
                <v:roundrect id="圆角矩形 13" o:spid="_x0000_s1106" style="width:113;height:340;flip:x;left:6358;position:absolute;rotation:13;top:38413;v-text-anchor:middle" arcsize="10923f" coordsize="21600,21600" filled="t" fillcolor="#2e54a1" stroked="f">
                  <v:stroke joinstyle="miter"/>
                  <o:lock v:ext="edit" aspectratio="f"/>
                </v:roundrect>
                <v:roundrect id="矩形 16" o:spid="_x0000_s1107" style="width:113;height:412;flip:x;left:6225;position:absolute;rotation:8;top:38343;v-text-anchor:middle" arcsize="10923f" coordsize="21600,21600" filled="t" fillcolor="#c81d31" stroked="f">
                  <v:stroke joinstyle="miter"/>
                  <o:lock v:ext="edit" aspectratio="f"/>
                </v:roundrect>
                <v:roundrect id="圆角矩形 14" o:spid="_x0000_s1108"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考情透视</w:t>
      </w:r>
      <w:r>
        <w:rPr>
          <w:rFonts w:ascii="隶书" w:eastAsia="隶书" w:hAnsi="隶书" w:cs="隶书" w:hint="eastAsia"/>
          <w:b/>
          <w:bCs/>
          <w:i w:val="0"/>
          <w:iCs w:val="0"/>
          <w:color w:val="0000FF"/>
          <w:spacing w:val="0"/>
          <w:w w:val="100"/>
          <w:sz w:val="24"/>
          <w:szCs w:val="24"/>
          <w:vertAlign w:val="baseline"/>
          <w:lang w:val="en-US" w:eastAsia="zh-CN"/>
        </w:rPr>
        <w:t>--</w:t>
      </w:r>
      <w:r>
        <w:rPr>
          <w:rFonts w:ascii="隶书" w:eastAsia="隶书" w:hAnsi="隶书" w:cs="隶书" w:hint="eastAsia"/>
          <w:b w:val="0"/>
          <w:bCs w:val="0"/>
          <w:i w:val="0"/>
          <w:iCs w:val="0"/>
          <w:color w:val="0000FF"/>
          <w:spacing w:val="0"/>
          <w:w w:val="100"/>
          <w:sz w:val="24"/>
          <w:szCs w:val="24"/>
          <w:vertAlign w:val="baseline"/>
        </w:rPr>
        <w:t>把脉命题 直击重点</w:t>
      </w:r>
    </w:p>
    <w:p w14:paraId="3B06221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►时政背景：</w:t>
      </w:r>
    </w:p>
    <w:p w14:paraId="351938B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2026年，我国消费市场持续复苏向好，新兴消费新形态加速迭代升级，成为拉动经济增长、推动高质量发展的重要引擎。随着数字技术与消费场景深度融合，直播电商、即时零售、绿色消费、体验式消费、银发消费等新兴消费形态蓬勃发展，不仅重塑了消费模式、激活了消费潜力，更契合我国扩大内需战略、培育新质生产力的发展要求。</w:t>
      </w:r>
    </w:p>
    <w:p w14:paraId="24CC269F">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今年以来，新兴消费新形态呈现“多元化、高品质、绿色化、数字化”的鲜明特征：直播电商持续提质，从流量驱动转向品质驱动，成为农产品上行、国货出海的重要渠道；即时零售覆盖生活全场景，实现“万物到家”的便捷体验，激活本地消费活力；绿色消费理念深入人心，新能源汽车、低碳家电、可循环消费品成为消费热点；体验式消费、沉浸式消费场景不断丰富，文旅、康养、研学等消费持续升温，满足居民多样化、高品质消费需求。这些新形态既带动了相关产业转型升级，也为就业提供了新空间，成为推动经济回升向好的重要支撑。</w:t>
      </w:r>
    </w:p>
    <w:p w14:paraId="77F0E4B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firstLine="420" w:firstLineChars="200"/>
        <w:jc w:val="left"/>
        <w:textAlignment w:val="auto"/>
        <w:rPr>
          <w:rFonts w:ascii="楷体" w:eastAsia="楷体" w:hAnsi="楷体" w:cs="楷体" w:hint="eastAsia"/>
          <w:sz w:val="21"/>
          <w:szCs w:val="21"/>
        </w:rPr>
      </w:pPr>
      <w:r>
        <w:rPr>
          <w:rFonts w:ascii="楷体" w:eastAsia="楷体" w:hAnsi="楷体" w:cs="楷体" w:hint="eastAsia"/>
          <w:sz w:val="21"/>
          <w:szCs w:val="21"/>
        </w:rPr>
        <w:t>当前，新兴消费新形态在快速发展的同时，也面临监管体系不完善、诚信体系不健全、部分消费场景服务质量参差不齐等现实挑战。立足中国式现代化全局，培育和规范新兴消费新形态，既是落实扩大内需战略、推动消费升级的必然要求，也是推动产业结构优化、培育新质生产力、实现高质量发展的重要路径。</w:t>
      </w:r>
    </w:p>
    <w:p w14:paraId="4C792D47">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►命题解码：</w:t>
      </w:r>
    </w:p>
    <w:p w14:paraId="59FFCF8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考向一：经济与社会——新兴消费新形态的经济逻辑与发展价值</w:t>
      </w:r>
    </w:p>
    <w:p w14:paraId="42694AE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新兴消费新形态（直播电商、绿色消费、即时零售等）的发展实践、数据成效，考查消费的反作用、新发展理念、现代化经济体系、新质生产力、市场配置资源、政府宏观调控等知识，分析新兴消费新形态对经济高质量发展的拉动作用、存在的问题及解决路径。</w:t>
      </w:r>
    </w:p>
    <w:p w14:paraId="2CB610B8">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消费对生产的反作用（新兴消费拉动生产升级、带动产业发展，为经济增长提供动力）；新发展理念（绿色消费契合绿色发展理念，数字消费契合创新发展理念，多元化消费契合协调发展理念）；现代化经济体系（新兴消费推动产业融合，完善消费体系，助力构建现代化经济体系）；新质生产力（数字技术驱动的新兴消费，推动生产方式变革，培育新质生产力）；市场配置资源（市场在新兴消费资源配置中起决定性作用，激发市场主体活力）；政府宏观调控（规范新兴消费市场秩序，弥补市场缺陷，引导新兴消费健康发展）。</w:t>
      </w:r>
    </w:p>
    <w:p w14:paraId="72BA739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考向二：政治与法治——新兴消费新形态的监管与治理保障</w:t>
      </w:r>
    </w:p>
    <w:p w14:paraId="5E4F385A">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结合政府对新兴消费新形态的监管举措、人大相关立法、消费者权益保护等情境，考查政府职能、依法行政、人大立法、全过程人民民主、公民权利与义务等知识，分析如何通过法治手段规范新兴消费市场、保障消费者权益、推动新兴消费健康发展。</w:t>
      </w:r>
    </w:p>
    <w:p w14:paraId="51E2080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政府职能（政府履行经济建设职能，加强新兴消费市场监管；履行社会建设职能，完善消费维权体系）；依法行政（政府坚持依法行政，完善新兴消费监管规则，规范市场主体行为）；人大立法（人大完善新兴消费相关法律法规，为新兴消费发展提供法律保障）；全过程人民民主（畅通消费者诉求表达渠道，保障消费者参与市场治理的权利）；消费者权益保护（坚持以人民为中心，保障消费者知情权、公平交易权等合法权益）。</w:t>
      </w:r>
    </w:p>
    <w:p w14:paraId="0711C21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考向三：中国特色社会主义——新兴消费新形态与中国式现代化</w:t>
      </w:r>
    </w:p>
    <w:p w14:paraId="65EEEFA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立足新兴消费新形态的发展成就，考查中国式现代化的特征、中国特色社会主义制度的优越性、以人民为中心的发展思想、扩大内需战略、共同富裕等知识，阐释新兴消费新形态对推进中国式现代化的重要价值。</w:t>
      </w:r>
    </w:p>
    <w:p w14:paraId="1867B1A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中国式现代化的特征（新兴消费契合高质量发展、全体人民共同富裕的要求，彰显中国式现代化的人民性、创新性）；中国特色社会主义制度的显著优势（集中力量办大事，推动数字技术与消费融合，规范新兴消费发展）；以人民为中心的发展思想（新兴消费满足人民多样化、高品质消费需求，彰显人民至上的价值追求）；扩大内需战略（新兴消费激活消费潜力，推动内需扩大，为中国式现代化提供内生动力）；共同富裕（新兴消费带动就业、促进产业升级，缩小城乡、区域消费差距，助力共同富裕）。</w:t>
      </w:r>
    </w:p>
    <w:p w14:paraId="2E09501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rFonts w:ascii="宋体" w:eastAsia="宋体" w:hAnsi="宋体" w:cs="宋体" w:hint="eastAsia"/>
          <w:b/>
          <w:sz w:val="21"/>
          <w:szCs w:val="21"/>
        </w:rPr>
        <w:t>考向四：哲学与文化——新兴消费新形态的哲学依据与文化支撑</w:t>
      </w:r>
    </w:p>
    <w:p w14:paraId="6E2F41A6">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【命题方向】</w:t>
      </w:r>
      <w:r>
        <w:rPr>
          <w:rFonts w:ascii="宋体" w:eastAsia="宋体" w:hAnsi="宋体" w:cs="宋体" w:hint="eastAsia"/>
          <w:sz w:val="21"/>
          <w:szCs w:val="21"/>
        </w:rPr>
        <w:t>：运用唯物辩证法、历史唯物主义知识分析新兴消费新形态的产生、发展规律，结合文化创新、社会主义核心价值观、文化自信等情境，考查文化对新兴消费的引领作用，说明新兴消费新形态发展的哲学思维和文化内涵。</w:t>
      </w:r>
    </w:p>
    <w:p w14:paraId="42693FCE">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rPr>
        <w:t>【知识衔接】</w:t>
      </w:r>
      <w:r>
        <w:rPr>
          <w:rFonts w:ascii="宋体" w:eastAsia="宋体" w:hAnsi="宋体" w:cs="宋体" w:hint="eastAsia"/>
          <w:sz w:val="21"/>
          <w:szCs w:val="21"/>
        </w:rPr>
        <w:t>：唯物辩证法（发展的普遍性，新兴消费新形态是消费发展的必然趋势；矛盾的普遍性与特殊性，新兴消费既有共性特征，又有不同形态的独特性；联系的普遍性，数字技术、产业发展、消费需求相互联系，推动新兴消费发展）；历史唯物主义（社会存在与社会意识的辩证关系，居民消费需求升级、数字技术发展推动新兴消费形态产生，新兴消费又反作用于社会发展；人民群众是历史的创造者，新兴消费满足人民群众的消费需求，体现群众路线）；文化创新（新兴消费与文化场景融合，推动文化创新，丰富文化消费形式）；社会主义核心价值观（绿色消费、诚信消费契合社会主义核心价值观，引领消费风尚）；文化自信（国货消费、传统文化与新兴消费融合，彰显文化自信，推动中华优秀传统文化创造性转化）。</w:t>
      </w:r>
    </w:p>
    <w:p w14:paraId="1325183B">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jc w:val="both"/>
        <w:rPr>
          <w:rStyle w:val="Strong"/>
          <w:rFonts w:ascii="华文中宋" w:eastAsia="华文中宋" w:hAnsi="华文中宋" w:cs="华文中宋" w:hint="eastAsia"/>
          <w:b/>
          <w:bCs/>
          <w:color w:val="000000"/>
          <w:sz w:val="21"/>
          <w:szCs w:val="21"/>
          <w:lang w:val="en-US" w:eastAsia="zh-CN"/>
        </w:rPr>
      </w:pPr>
      <w:r>
        <w:rPr>
          <w:rStyle w:val="Strong"/>
          <w:rFonts w:ascii="华文中宋" w:eastAsia="华文中宋" w:hAnsi="华文中宋" w:cs="华文中宋" w:hint="eastAsia"/>
          <w:b/>
          <w:bCs/>
          <w:color w:val="000000"/>
          <w:sz w:val="21"/>
          <w:szCs w:val="21"/>
          <w:lang w:val="en-US" w:eastAsia="zh-CN"/>
        </w:rPr>
        <w:t>►备考建议：</w:t>
      </w:r>
    </w:p>
    <w:p w14:paraId="7449A7FD">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1.  聚焦核心逻辑</w:t>
      </w:r>
      <w:r>
        <w:rPr>
          <w:rFonts w:ascii="宋体" w:eastAsia="宋体" w:hAnsi="宋体" w:cs="宋体" w:hint="eastAsia"/>
          <w:b/>
          <w:bCs/>
          <w:sz w:val="21"/>
          <w:szCs w:val="21"/>
          <w:lang w:eastAsia="zh-CN"/>
        </w:rPr>
        <w:t>：</w:t>
      </w:r>
      <w:r>
        <w:rPr>
          <w:rFonts w:ascii="宋体" w:eastAsia="宋体" w:hAnsi="宋体" w:cs="宋体" w:hint="eastAsia"/>
          <w:sz w:val="21"/>
          <w:szCs w:val="21"/>
        </w:rPr>
        <w:t>吃透“消费升级—产业赋能—高质量发展”主线，掌握新兴消费关键术语。</w:t>
      </w:r>
    </w:p>
    <w:p w14:paraId="2D2569A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2.  锚定教材模块</w:t>
      </w:r>
      <w:r>
        <w:rPr>
          <w:rFonts w:ascii="宋体" w:eastAsia="宋体" w:hAnsi="宋体" w:cs="宋体" w:hint="eastAsia"/>
          <w:b/>
          <w:bCs/>
          <w:sz w:val="21"/>
          <w:szCs w:val="21"/>
          <w:lang w:val="en-US" w:eastAsia="zh-CN"/>
        </w:rPr>
        <w:t>:</w:t>
      </w:r>
      <w:r>
        <w:rPr>
          <w:rFonts w:ascii="宋体" w:eastAsia="宋体" w:hAnsi="宋体" w:cs="宋体" w:hint="eastAsia"/>
          <w:sz w:val="21"/>
          <w:szCs w:val="21"/>
        </w:rPr>
        <w:t>构建“经济价值—政治保障—制度优势—哲学文化支撑”跨模块体系。</w:t>
      </w:r>
    </w:p>
    <w:p w14:paraId="39919B72">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3.  规范答题范式</w:t>
      </w:r>
      <w:r>
        <w:rPr>
          <w:rFonts w:ascii="宋体" w:eastAsia="宋体" w:hAnsi="宋体" w:cs="宋体" w:hint="eastAsia"/>
          <w:b/>
          <w:bCs/>
          <w:sz w:val="21"/>
          <w:szCs w:val="21"/>
          <w:lang w:val="en-US" w:eastAsia="zh-CN"/>
        </w:rPr>
        <w:t>:</w:t>
      </w:r>
      <w:r>
        <w:rPr>
          <w:rFonts w:ascii="宋体" w:eastAsia="宋体" w:hAnsi="宋体" w:cs="宋体" w:hint="eastAsia"/>
          <w:sz w:val="21"/>
          <w:szCs w:val="21"/>
        </w:rPr>
        <w:t>突破原因类、措施类、意义类主观题，提升材料与原理的对接精准度。</w:t>
      </w:r>
    </w:p>
    <w:p w14:paraId="13DC3029">
      <w:pPr>
        <w:keepNext w:val="0"/>
        <w:keepLines w:val="0"/>
        <w:pageBreakBefore w:val="0"/>
        <w:widowControl w:val="0"/>
        <w:shd w:val="clear" w:color="auto" w:fill="D4F4F1" w:themeFill="accent5" w:themeFillTint="32"/>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bCs/>
          <w:sz w:val="21"/>
          <w:szCs w:val="21"/>
        </w:rPr>
        <w:t>4.  关注典型案例</w:t>
      </w:r>
      <w:r>
        <w:rPr>
          <w:rFonts w:ascii="宋体" w:eastAsia="宋体" w:hAnsi="宋体" w:cs="宋体" w:hint="eastAsia"/>
          <w:b/>
          <w:bCs/>
          <w:sz w:val="21"/>
          <w:szCs w:val="21"/>
          <w:lang w:val="en-US" w:eastAsia="zh-CN"/>
        </w:rPr>
        <w:t>:</w:t>
      </w:r>
      <w:r>
        <w:rPr>
          <w:rFonts w:ascii="宋体" w:eastAsia="宋体" w:hAnsi="宋体" w:cs="宋体" w:hint="eastAsia"/>
          <w:sz w:val="21"/>
          <w:szCs w:val="21"/>
        </w:rPr>
        <w:t>跟踪直播电商、绿色消费等热点场景，积累时政素材，增强备考针对性。</w:t>
      </w:r>
    </w:p>
    <w:p w14:paraId="5E835469">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bCs/>
          <w:i w:val="0"/>
          <w:iCs w:val="0"/>
          <w:color w:val="0000FF"/>
          <w:spacing w:val="0"/>
          <w:w w:val="100"/>
          <w:sz w:val="24"/>
          <w:szCs w:val="24"/>
          <w:vertAlign w:val="baseline"/>
          <w:lang w:val="en-US" w:eastAsia="zh-CN"/>
        </w:rPr>
      </w:pPr>
      <w:r>
        <w:rPr>
          <w:sz w:val="28"/>
        </w:rPr>
        <mc:AlternateContent>
          <mc:Choice Requires="wpg">
            <w:drawing>
              <wp:inline distT="0" distB="0" distL="114300" distR="114300">
                <wp:extent cx="203200" cy="280035"/>
                <wp:effectExtent l="0" t="0" r="25400" b="5715"/>
                <wp:docPr id="218" name="组合 218"/>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19"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0"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1"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09" style="width:16pt;height:22.05pt" coordorigin="6081,38224" coordsize="389,536">
                <o:lock v:ext="edit" aspectratio="f"/>
                <v:roundrect id="圆角矩形 13" o:spid="_x0000_s1110" style="width:113;height:340;flip:x;left:6358;position:absolute;rotation:13;top:38413;v-text-anchor:middle" arcsize="10923f" coordsize="21600,21600" filled="t" fillcolor="#7ddfd7" stroked="f">
                  <v:stroke joinstyle="miter"/>
                  <o:lock v:ext="edit" aspectratio="f"/>
                </v:roundrect>
                <v:roundrect id="矩形 16" o:spid="_x0000_s1111" style="width:113;height:412;flip:x;left:6225;position:absolute;rotation:8;top:38343;v-text-anchor:middle" arcsize="10923f" coordsize="21600,21600" filled="t" fillcolor="#c81d31" stroked="f">
                  <v:stroke joinstyle="miter"/>
                  <o:lock v:ext="edit" aspectratio="f"/>
                </v:roundrect>
                <v:roundrect id="圆角矩形 14" o:spid="_x0000_s1112"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考点抢分</w:t>
      </w:r>
      <w:r>
        <w:rPr>
          <w:rFonts w:ascii="隶书" w:eastAsia="隶书" w:hAnsi="隶书" w:cs="隶书" w:hint="eastAsia"/>
          <w:b w:val="0"/>
          <w:bCs w:val="0"/>
          <w:i w:val="0"/>
          <w:iCs w:val="0"/>
          <w:color w:val="0000FF"/>
          <w:spacing w:val="0"/>
          <w:w w:val="100"/>
          <w:sz w:val="24"/>
          <w:szCs w:val="24"/>
          <w:vertAlign w:val="baseline"/>
          <w:lang w:val="en-US" w:eastAsia="zh-CN"/>
        </w:rPr>
        <w:t>--核心精粹 高效速记</w:t>
      </w:r>
    </w:p>
    <w:p w14:paraId="3E73D8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考向一：经济与社会</w:t>
      </w:r>
    </w:p>
    <w:p w14:paraId="16D8E67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设问1：结合材料，运用相关知识，说明新兴消费新形态对培育新质生产力、推动高质量发展的作用。</w:t>
      </w:r>
    </w:p>
    <w:p w14:paraId="04214D4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0D3DD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①新兴消费新形态推动数字技术与实体经济深度融合，带动产业转型升级，推动生产方式变革，为新质生产力培育提供支撑。</w:t>
      </w:r>
    </w:p>
    <w:p w14:paraId="2EE168A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②激活消费潜力，扩大内需，提高消费对经济增长的贡献率，为高质量发展提供内生动力。</w:t>
      </w:r>
    </w:p>
    <w:p w14:paraId="45109C9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③引导消费升级，推动绿色消费、高品质消费发展，契合新发展理念，推动经济质的有效提升和量的合理增长，完善现代化经济体系。</w:t>
      </w:r>
    </w:p>
    <w:p w14:paraId="2EEE8A04">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设问2：运用相关知识，分析我国应如何规范新兴消费新形态，推动其持续健康发展。</w:t>
      </w:r>
    </w:p>
    <w:p w14:paraId="5DE6073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01BAC0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①政府加强宏观调控，完善新兴消费监管体系和法律法规，加强市场监管，打击违法违规行为，营造公平竞争的市场环境。</w:t>
      </w:r>
    </w:p>
    <w:p w14:paraId="2F3DC63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②市场主体坚持诚信经营，提升产品和服务质量，完善售后服务，承担社会责任，树立良好的企业信誉和形象。</w:t>
      </w:r>
    </w:p>
    <w:p w14:paraId="3734FDA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③引导消费者树立理性消费、绿色消费、诚信消费理念，增强维权意识，依法维护自身合法权益，推动形成健康的消费环境。</w:t>
      </w:r>
    </w:p>
    <w:p w14:paraId="5CF1FDE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考向二：政治与法治</w:t>
      </w:r>
    </w:p>
    <w:p w14:paraId="5021B26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设问1：结合材料，运用相关知识，说明我国人大和政府在推动新兴消费新形态规范健康发展中的作用。</w:t>
      </w:r>
    </w:p>
    <w:p w14:paraId="6468AB7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DE8FAF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①人大行使立法权，完善新兴消费领域相关法律法规，明确经营规范和监管标准，为新兴消费发展提供法律保障，做到有法可依。</w:t>
      </w:r>
    </w:p>
    <w:p w14:paraId="1D8C2A4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②政府履行经济建设职能，加强新兴消费市场监管，开展专项整治，规范市场主体行为；履行社会建设职能，完善消费维权体系，畅通投诉举报渠道，保障消费者合法权益。</w:t>
      </w:r>
    </w:p>
    <w:p w14:paraId="7BEE7C3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③政府坚持依法行政，严格执法，对违法违规商家依法处罚，提升监管效能，推动新兴消费规范健康发展。</w:t>
      </w:r>
    </w:p>
    <w:p w14:paraId="044B414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设问2：运用相关知识，说明公民应如何参与新兴消费市场治理，维护自身合法权益。</w:t>
      </w:r>
    </w:p>
    <w:p w14:paraId="1349FFB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03E62E9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①坚持权利与义务统一的原则，既要依法维护自身的知情权、公平交易权等合法权益，也要遵守市场规则，理性消费、诚信消费。</w:t>
      </w:r>
    </w:p>
    <w:p w14:paraId="171A200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②积极参与民主监督，通过12315投诉举报渠道等，对新兴消费领域的违法违规行为进行举报，推动市场监管完善。</w:t>
      </w:r>
    </w:p>
    <w:p w14:paraId="0FA260B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③增强法治意识，学习新兴消费相关法律法规，提高维权能力，当合法权益受到侵害时，依法通过合法途径维护自身权益。</w:t>
      </w:r>
    </w:p>
    <w:p w14:paraId="2F67A9E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考向三：中国特色社会主义</w:t>
      </w:r>
    </w:p>
    <w:p w14:paraId="5BFC17C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设问1：结合材料，运用相关知识，说明新兴消费新形态如何彰显中国特色社会主义制度的显著优势。</w:t>
      </w:r>
    </w:p>
    <w:p w14:paraId="2A31843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7E5107C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①彰显党的领导的显著优势，党统筹扩大内需战略，引导新兴消费发展，为新兴消费新形态发展提供方向指引。</w:t>
      </w:r>
    </w:p>
    <w:p w14:paraId="04B6D41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②彰显集中力量办大事的优势，推动数字技术与消费深度融合，规范新兴消费市场，破解发展中的痛点难点问题，推动新兴消费快速发展。</w:t>
      </w:r>
    </w:p>
    <w:p w14:paraId="4532E32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③彰显以人民为中心的优势，新兴消费满足人民多样化、高品质消费需求，带动就业增收、缩小城乡差距，体现人民至上的价值追求。</w:t>
      </w:r>
    </w:p>
    <w:p w14:paraId="1D21EE8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设问2：运用相关知识，说明新兴消费新形态与中国式现代化的内在联系。</w:t>
      </w:r>
    </w:p>
    <w:p w14:paraId="6988274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8A8119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①新兴消费新形态是推进中国式现代化的重要动力，其多元化、高品质、绿色化的发展特征，契合中国式现代化高质量发展、共同富裕、人与自然和谐共生的要求。</w:t>
      </w:r>
    </w:p>
    <w:p w14:paraId="7F5FAA3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②中国式现代化为新兴消费新形态发展提供实践载体和方向指引，中国式现代化的发展要求，推动数字技术与消费融合，引导新兴消费健康发展。</w:t>
      </w:r>
    </w:p>
    <w:p w14:paraId="66C91E5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③二者相互促进、有机统一，新兴消费新形态推动经济增长、改善民生，助力中国式现代化目标实现；中国式现代化的推进，进一步激活消费潜力，丰富新兴消费形态。</w:t>
      </w:r>
    </w:p>
    <w:p w14:paraId="0636D60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宋体" w:eastAsia="宋体" w:hAnsi="宋体" w:cs="宋体" w:hint="eastAsia"/>
          <w:b/>
          <w:color w:val="0070C0"/>
          <w:sz w:val="21"/>
          <w:szCs w:val="21"/>
        </w:rPr>
        <w:t>考向四：哲学与文化</w:t>
      </w:r>
    </w:p>
    <w:p w14:paraId="42D817A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设问1：运用唯物辩证法知识，分析新兴消费新形态发展的特点及启示。</w:t>
      </w:r>
    </w:p>
    <w:p w14:paraId="603F46C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490200A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①发展具有普遍性，新兴消费新形态从无到有、迭代升级，体现了事物是不断变化发展的，启示我们要坚持用发展的观点看问题，主动适应消费发展新趋势。</w:t>
      </w:r>
    </w:p>
    <w:p w14:paraId="26FF79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②联系具有普遍性和多样性，新兴消费与数字技术、产业发展、消费需求相互联系，启示我们要坚持用联系的观点看问题，推动数字技术与消费、产业深度融合。</w:t>
      </w:r>
    </w:p>
    <w:p w14:paraId="7D05E9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③矛盾具有普遍性，新兴消费在发展中既有优势也有问题，启示我们要坚持一分为二的观点，既要发挥其拉动经济的优势，也要正视问题、解决问题。</w:t>
      </w:r>
    </w:p>
    <w:p w14:paraId="6F3AF08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3"/>
        <w:rPr>
          <w:rFonts w:ascii="宋体" w:eastAsia="宋体" w:hAnsi="宋体" w:cs="宋体" w:hint="eastAsia"/>
          <w:sz w:val="21"/>
          <w:szCs w:val="21"/>
        </w:rPr>
      </w:pPr>
      <w:r>
        <w:rPr>
          <w:rFonts w:ascii="宋体" w:eastAsia="宋体" w:hAnsi="宋体" w:cs="宋体" w:hint="eastAsia"/>
          <w:b/>
          <w:sz w:val="21"/>
          <w:szCs w:val="21"/>
        </w:rPr>
        <w:t>设问2：运用相关知识，说明如何通过文化建设为新兴消费新形态发展提供支撑。</w:t>
      </w:r>
    </w:p>
    <w:p w14:paraId="0E8DB8C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b/>
          <w:sz w:val="21"/>
          <w:szCs w:val="21"/>
          <w:lang w:eastAsia="zh-CN"/>
        </w:rPr>
      </w:pPr>
      <w:r>
        <w:rPr>
          <w:rFonts w:ascii="宋体" w:eastAsia="宋体" w:hAnsi="宋体" w:cs="宋体" w:hint="eastAsia"/>
          <w:b/>
          <w:sz w:val="21"/>
          <w:szCs w:val="21"/>
          <w:lang w:eastAsia="zh-CN"/>
        </w:rPr>
        <w:t>【参考答案】</w:t>
      </w:r>
    </w:p>
    <w:p w14:paraId="6469B4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①推动文化与消费深度融合，将中华优秀传统文化、红色文化融入新兴消费场景，丰富消费形式，提升消费文化内涵，增强消费吸引力。</w:t>
      </w:r>
    </w:p>
    <w:p w14:paraId="2F44AF7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②培育践行社会主义核心价值观，引导消费者树立绿色消费、诚信消费理念，引领健康向上的消费风尚，规范新兴消费市场秩序。</w:t>
      </w:r>
    </w:p>
    <w:p w14:paraId="6E3AA97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③推动文化创新，依托数字技术，打造沉浸式、体验式文化消费项目，推动中华优秀传统文化创造性转化、创新性发展，增强文化自信，为新兴消费提供文化支撑。</w:t>
      </w:r>
    </w:p>
    <w:p w14:paraId="17930765">
      <w:pPr>
        <w:keepNext w:val="0"/>
        <w:keepLines w:val="0"/>
        <w:pageBreakBefore w:val="0"/>
        <w:widowControl w:val="0"/>
        <w:kinsoku/>
        <w:wordWrap/>
        <w:overflowPunct/>
        <w:topLinePunct w:val="0"/>
        <w:autoSpaceDE/>
        <w:autoSpaceDN/>
        <w:bidi w:val="0"/>
        <w:adjustRightInd/>
        <w:snapToGrid/>
        <w:spacing w:line="360" w:lineRule="auto"/>
        <w:jc w:val="left"/>
        <w:rPr>
          <w:rFonts w:ascii="隶书" w:eastAsia="隶书" w:hAnsi="隶书" w:cs="隶书" w:hint="eastAsia"/>
          <w:b w:val="0"/>
          <w:bCs w:val="0"/>
          <w:i w:val="0"/>
          <w:iCs w:val="0"/>
          <w:color w:val="0000FF"/>
          <w:spacing w:val="0"/>
          <w:w w:val="100"/>
          <w:sz w:val="24"/>
          <w:szCs w:val="24"/>
          <w:vertAlign w:val="baseline"/>
        </w:rPr>
      </w:pPr>
      <w:r>
        <w:rPr>
          <w:rFonts w:hint="eastAsia"/>
          <w:sz w:val="28"/>
          <w:szCs w:val="28"/>
          <w:lang w:val="en-US" w:eastAsia="zh-CN"/>
        </w:rPr>
        <w:t xml:space="preserve"> </w:t>
      </w:r>
      <w:r>
        <w:rPr>
          <w:sz w:val="28"/>
        </w:rPr>
        <mc:AlternateContent>
          <mc:Choice Requires="wpg">
            <w:drawing>
              <wp:inline distT="0" distB="0" distL="114300" distR="114300">
                <wp:extent cx="203200" cy="280035"/>
                <wp:effectExtent l="0" t="0" r="25400" b="5715"/>
                <wp:docPr id="222" name="组合 222"/>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223" name="圆角矩形 13"/>
                        <wps:cNvSpPr/>
                        <wps:spPr>
                          <a:xfrm rot="20820000" flipH="1">
                            <a:off x="6358" y="38413"/>
                            <a:ext cx="113" cy="340"/>
                          </a:xfrm>
                          <a:prstGeom prst="roundRect">
                            <a:avLst/>
                          </a:prstGeom>
                          <a:solidFill>
                            <a:schemeClr val="accent1">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4"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225" name="圆角矩形 14"/>
                        <wps:cNvSpPr/>
                        <wps:spPr>
                          <a:xfrm flipH="1">
                            <a:off x="6081" y="38224"/>
                            <a:ext cx="120" cy="537"/>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13" style="width:16pt;height:22.05pt" coordorigin="6081,38224" coordsize="389,536">
                <o:lock v:ext="edit" aspectratio="f"/>
                <v:roundrect id="圆角矩形 13" o:spid="_x0000_s1114" style="width:113;height:340;flip:x;left:6358;position:absolute;rotation:13;top:38413;v-text-anchor:middle" arcsize="10923f" coordsize="21600,21600" filled="t" fillcolor="#2e54a1" stroked="f">
                  <v:stroke joinstyle="miter"/>
                  <o:lock v:ext="edit" aspectratio="f"/>
                </v:roundrect>
                <v:roundrect id="矩形 16" o:spid="_x0000_s1115" style="width:113;height:412;flip:x;left:6225;position:absolute;rotation:8;top:38343;v-text-anchor:middle" arcsize="10923f" coordsize="21600,21600" filled="t" fillcolor="#c81d31" stroked="f">
                  <v:stroke joinstyle="miter"/>
                  <o:lock v:ext="edit" aspectratio="f"/>
                </v:roundrect>
                <v:roundrect id="圆角矩形 14" o:spid="_x0000_s1116" style="width:120;height:537;flip:x;left:6081;position:absolute;top:38224;v-text-anchor:middle" arcsize="10923f" coordsize="21600,21600" filled="t" fillcolor="#7ddfd7"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lang w:val="en-US" w:eastAsia="zh-CN"/>
        </w:rPr>
        <w:t>典例</w:t>
      </w:r>
      <w:r>
        <w:rPr>
          <w:rFonts w:ascii="微软雅黑" w:eastAsia="微软雅黑" w:hAnsi="微软雅黑" w:cs="微软雅黑" w:hint="eastAsia"/>
          <w:b/>
          <w:bCs/>
          <w:i w:val="0"/>
          <w:iCs w:val="0"/>
          <w:color w:val="333333"/>
          <w:spacing w:val="0"/>
          <w:w w:val="100"/>
          <w:sz w:val="28"/>
          <w:szCs w:val="28"/>
          <w:vertAlign w:val="baseline"/>
        </w:rPr>
        <w:t>精研</w:t>
      </w:r>
      <w:r>
        <w:rPr>
          <w:rFonts w:ascii="隶书" w:eastAsia="隶书" w:hAnsi="隶书" w:cs="隶书" w:hint="eastAsia"/>
          <w:b/>
          <w:bCs/>
          <w:i w:val="0"/>
          <w:iCs w:val="0"/>
          <w:color w:val="0000FF"/>
          <w:spacing w:val="0"/>
          <w:w w:val="100"/>
          <w:sz w:val="24"/>
          <w:szCs w:val="24"/>
          <w:vertAlign w:val="baseline"/>
          <w:lang w:val="en-US" w:eastAsia="zh-CN"/>
        </w:rPr>
        <w:t>--典例精析</w:t>
      </w:r>
      <w:r>
        <w:rPr>
          <w:rFonts w:ascii="隶书" w:eastAsia="隶书" w:hAnsi="隶书" w:cs="隶书" w:hint="eastAsia"/>
          <w:b w:val="0"/>
          <w:bCs w:val="0"/>
          <w:i w:val="0"/>
          <w:iCs w:val="0"/>
          <w:color w:val="0000FF"/>
          <w:spacing w:val="0"/>
          <w:w w:val="100"/>
          <w:sz w:val="24"/>
          <w:szCs w:val="24"/>
          <w:vertAlign w:val="baseline"/>
        </w:rPr>
        <w:t xml:space="preserve"> 把握规律</w:t>
      </w:r>
    </w:p>
    <w:p w14:paraId="3DC3C25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rFonts w:ascii="黑体" w:eastAsia="黑体" w:hAnsi="黑体" w:cs="黑体" w:hint="eastAsia"/>
          <w:b/>
          <w:bCs/>
          <w:color w:val="0070C0"/>
          <w:sz w:val="21"/>
          <w:lang w:val="en-US" w:eastAsia="zh-CN"/>
        </w:rPr>
        <w:t xml:space="preserve"> </w:t>
      </w:r>
      <w:r>
        <w:rPr>
          <w:rFonts w:ascii="宋体" w:eastAsia="宋体" w:hAnsi="宋体" w:cs="宋体" w:hint="eastAsia"/>
          <w:b/>
          <w:color w:val="0070C0"/>
          <w:sz w:val="21"/>
          <w:szCs w:val="21"/>
        </w:rPr>
        <w:t>考向一：经济与社会——新兴消费新形态的经济逻辑与发展价值</w:t>
      </w:r>
    </w:p>
    <w:p w14:paraId="7F993B5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新兴消费新形态持续升温，直播电商提质增效，即时零售覆盖全场景，绿色消费、体验式消费快速增长，带动消费市场持续复苏，拉动GDP增长贡献率达65%。同时，新兴消费推动数字技术与实体经济深度融合，带动相关产业转型升级，培育了一批新的经济增长点。这表明新兴消费新形态（ ）</w:t>
      </w:r>
    </w:p>
    <w:p w14:paraId="5170984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①是拉动经济增长的重要动力 ②能够推动产业结构优化升级</w:t>
      </w:r>
    </w:p>
    <w:p w14:paraId="48A48F1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③决定生产的发展方向和水平 ④能够优化市场资源配置，消除市场缺陷</w:t>
      </w:r>
    </w:p>
    <w:p w14:paraId="1211892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 B. ①③ C. ②④ D. ③④</w:t>
      </w:r>
    </w:p>
    <w:p w14:paraId="724475F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新兴消费新形态蓬勃发展，直播电商交易额同比增长42%，即时零售市场规模突破1.8万亿元，绿色家电、新能源汽车销量同比分别增长35%和58%；新兴消费不仅带动了电商、物流、大数据等产业发展，还推动传统制造业转型升级，培育了新质生产力。但同时，新兴消费也面临部分商家虚假宣传、售后服务不完善、监管体系不健全等问题，制约了其持续健康发展。</w:t>
      </w:r>
    </w:p>
    <w:p w14:paraId="1F7CD70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结合材料，运用《经济与社会》知识，分析新兴消费新形态对推动高质量发展的作用，并说明如何解决其发展中存在的问题。</w:t>
      </w:r>
    </w:p>
    <w:p w14:paraId="212E3614">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47" name="图片 247"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图片 247"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76ED44D8">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color w:val="0070C0"/>
          <w:sz w:val="21"/>
          <w:szCs w:val="21"/>
        </w:rPr>
      </w:pPr>
      <w:r>
        <w:rPr>
          <w:sz w:val="22"/>
        </w:rPr>
        <mc:AlternateContent>
          <mc:Choice Requires="wps">
            <w:drawing>
              <wp:inline distT="0" distB="0" distL="114300" distR="114300">
                <wp:extent cx="6219825" cy="1016635"/>
                <wp:effectExtent l="6350" t="6350" r="22225" b="24765"/>
                <wp:docPr id="248" name="文本框 248"/>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作用+措施”类主观题，先分“作用”“措施”分层作答，作用遵循“消费→经济→产业→生产力”的逻辑，措施遵循“政府→企业→消费者”的主体逻辑，使用规范术语，结合材料数据增强说服力，避免泛谈。</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17" style="width:489.75pt;height:80.05pt" arcsize="5680f" coordsize="21600,21600" filled="t" fillcolor="#fce6d5" stroked="t" strokecolor="#249087">
                <v:fill opacity="26214f"/>
                <v:stroke joinstyle="round" dashstyle="longDashDotDot"/>
                <o:lock v:ext="edit" aspectratio="f"/>
                <v:textbox>
                  <w:txbxContent>
                    <w:p w14:paraId="064418C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作用+措施”类主观题，先分“作用”“措施”分层作答，作用遵循“消费→经济→产业→生产力”的逻辑，措施遵循“政府→企业→消费者”的主体逻辑，使用规范术语，结合材料数据增强说服力，避免泛谈。</w:t>
                      </w:r>
                    </w:p>
                    <w:p w14:paraId="1088B00F"/>
                  </w:txbxContent>
                </v:textbox>
                <w10:anchorlock/>
              </v:roundrect>
            </w:pict>
          </mc:Fallback>
        </mc:AlternateContent>
      </w:r>
      <w:r>
        <w:rPr>
          <w:rFonts w:ascii="宋体" w:eastAsia="宋体" w:hAnsi="宋体" w:cs="宋体" w:hint="eastAsia"/>
          <w:b/>
          <w:color w:val="0070C0"/>
          <w:sz w:val="21"/>
          <w:szCs w:val="21"/>
        </w:rPr>
        <w:t>考向二：政治与法治——新兴消费新形态的监管与治理保障</w:t>
      </w:r>
    </w:p>
    <w:p w14:paraId="39BD8F6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为规范新兴消费新形态发展，我国人大加快完善相关法律法规，明确直播电商、即时零售等新兴消费领域的经营规范和监管标准；政府强化监管执法，开展新兴消费市场专项整治，打击虚假宣传、哄抬物价等违法行为；同时，畅通消费者投诉举报渠道，鼓励消费者参与市场监督，保障消费者合法权益。这体现了我国（ ）</w:t>
      </w:r>
    </w:p>
    <w:p w14:paraId="5622A0A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①人大行使立法权，为新兴消费发展提供法律保障 ②政府坚持依法行政，履行市场监管职能</w:t>
      </w:r>
    </w:p>
    <w:p w14:paraId="2D9716B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③消费者坚持权利与义务统一，积极参与民主监督 ④政府坚持科学执政，提升治理效能</w:t>
      </w:r>
    </w:p>
    <w:p w14:paraId="32129E0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6C1E390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新兴消费新形态快速发展，但直播带货虚假宣传、即时零售配送超时、绿色消费认证乱象等问题频发，损害了消费者合法权益，影响了新兴消费市场的健康发展。为此，我国政府出台《新兴消费领域监管暂行办法》，明确监管责任，规范经营行为；加强执法力度，对违法违规商家依法处罚；同时，建立消费投诉快速响应机制，畅通12315投诉举报渠道，保障消费者知情权、公平交易权等合法权益，推动新兴消费新形态规范健康发展。</w:t>
      </w:r>
    </w:p>
    <w:p w14:paraId="4E0D6CA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结合材料，运用《政治与法治》知识，说明我国政府是如何通过履行职能推动新兴消费新形态规范健康发展的。</w:t>
      </w:r>
    </w:p>
    <w:p w14:paraId="7ACEC8A8">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43" name="图片 243"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图片 243"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41E6960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244" name="文本框 244"/>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政府职能类主观题，梳理“经济职能—社会职能”的逻辑，结合“出台政策—严格执法—维权保障”的具体举措，每点均体现“职能+具体做法+意义”，使用“出台、加强、建立、畅通”等规范动词，贴合政府履职的具体情境。</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18" style="width:489.75pt;height:80.05pt" arcsize="5680f" coordsize="21600,21600" filled="t" fillcolor="#fce6d5" stroked="t" strokecolor="#249087">
                <v:fill opacity="26214f"/>
                <v:stroke joinstyle="round" dashstyle="longDashDotDot"/>
                <o:lock v:ext="edit" aspectratio="f"/>
                <v:textbox>
                  <w:txbxContent>
                    <w:p w14:paraId="5D5A314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政府职能类主观题，梳理“经济职能—社会职能”的逻辑，结合“出台政策—严格执法—维权保障”的具体举措，每点均体现“职能+具体做法+意义”，使用“出台、加强、建立、畅通”等规范动词，贴合政府履职的具体情境。</w:t>
                      </w:r>
                    </w:p>
                    <w:p w14:paraId="1EF04E55"/>
                  </w:txbxContent>
                </v:textbox>
                <w10:anchorlock/>
              </v:roundrect>
            </w:pict>
          </mc:Fallback>
        </mc:AlternateContent>
      </w:r>
      <w:r>
        <w:rPr>
          <w:rFonts w:ascii="宋体" w:eastAsia="宋体" w:hAnsi="宋体" w:cs="宋体" w:hint="eastAsia"/>
          <w:b/>
          <w:color w:val="0070C0"/>
          <w:sz w:val="21"/>
          <w:szCs w:val="21"/>
        </w:rPr>
        <w:t>考向三：中国特色社会主义——新兴消费新形态与中国式现代化</w:t>
      </w:r>
    </w:p>
    <w:p w14:paraId="3DA8F6E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我国新兴消费新形态持续发展，从直播电商助力农产品上行、促进乡村消费，到绿色消费推动低碳发展、践行生态文明理念；从即时零售满足居民便捷生活需求，到体验式消费丰富精神文化生活，新兴消费既拉动了经济增长，又彰显了人民至上的价值追求，体现了中国特色社会主义制度的优越性。这表明（ ）</w:t>
      </w:r>
    </w:p>
    <w:p w14:paraId="00C1B25F">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①新兴消费契合中国式现代化的本质要求 </w:t>
      </w:r>
    </w:p>
    <w:p w14:paraId="7529E43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②中国特色社会主义制度具有强大生命力</w:t>
      </w:r>
    </w:p>
    <w:p w14:paraId="6C8C3951">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 xml:space="preserve">③新兴消费是实现共同富裕的根本途径 </w:t>
      </w:r>
    </w:p>
    <w:p w14:paraId="619B9053">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④中国式现代化是全体人民共同富裕的现代化</w:t>
      </w:r>
    </w:p>
    <w:p w14:paraId="0D8FA6D9">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048F0E72">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立足中国式现代化全局，大力培育新兴消费新形态，推动数字技术与消费深度融合，直播电商、即时零售、绿色消费等蓬勃发展，不仅激活了消费潜力、拉动了经济增长，还带动了乡村消费升级、促进了就业增收，缩小了城乡消费差距；同时，新兴消费注重满足居民精神文化需求，推动文旅、研学等体验式消费发展，丰富了人民群众的精神文化生活，彰显了以人民为中心的发展思想和中国特色社会主义制度的优越性。</w:t>
      </w:r>
    </w:p>
    <w:p w14:paraId="5B28B91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结合材料，运用《中国特色社会主义》知识，说明新兴消费新形态对推进中国式现代化的重要意义。</w:t>
      </w:r>
    </w:p>
    <w:p w14:paraId="065A2C80">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41" name="图片 241"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74C626C0">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outlineLvl w:val="2"/>
        <w:rPr>
          <w:rFonts w:ascii="宋体" w:eastAsia="宋体" w:hAnsi="宋体" w:cs="宋体" w:hint="eastAsia"/>
          <w:sz w:val="21"/>
          <w:szCs w:val="21"/>
        </w:rPr>
      </w:pPr>
      <w:r>
        <w:rPr>
          <w:sz w:val="22"/>
        </w:rPr>
        <mc:AlternateContent>
          <mc:Choice Requires="wps">
            <w:drawing>
              <wp:inline distT="0" distB="0" distL="114300" distR="114300">
                <wp:extent cx="6219825" cy="1016635"/>
                <wp:effectExtent l="6350" t="6350" r="22225" b="24765"/>
                <wp:docPr id="242" name="文本框 242"/>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新兴消费的实践与这些特征一一对应，每点均突出“对中国式现代化的具体意义”，提升政治站位，结合乡村消费、就业等具体情境，避免泛谈，术语规范、逻辑连贯。</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19" style="width:489.75pt;height:80.05pt" arcsize="5680f" coordsize="21600,21600" filled="t" fillcolor="#fce6d5" stroked="t" strokecolor="#249087">
                <v:fill opacity="26214f"/>
                <v:stroke joinstyle="round" dashstyle="longDashDotDot"/>
                <o:lock v:ext="edit" aspectratio="f"/>
                <v:textbox>
                  <w:txbxContent>
                    <w:p w14:paraId="4B4D238A">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意义类主观题，紧扣“中国式现代化”的核心特征，将新兴消费的实践与这些特征一一对应，每点均突出“对中国式现代化的具体意义”，提升政治站位，结合乡村消费、就业等具体情境，避免泛谈，术语规范、逻辑连贯。</w:t>
                      </w:r>
                    </w:p>
                    <w:p w14:paraId="6048FEDA"/>
                  </w:txbxContent>
                </v:textbox>
                <w10:anchorlock/>
              </v:roundrect>
            </w:pict>
          </mc:Fallback>
        </mc:AlternateContent>
      </w:r>
      <w:r>
        <w:rPr>
          <w:rFonts w:ascii="宋体" w:eastAsia="宋体" w:hAnsi="宋体" w:cs="宋体" w:hint="eastAsia"/>
          <w:b/>
          <w:color w:val="0070C0"/>
          <w:sz w:val="21"/>
          <w:szCs w:val="21"/>
        </w:rPr>
        <w:t>考向四：哲学与文化——新兴消费新形态的哲学依据与文化支撑</w:t>
      </w:r>
    </w:p>
    <w:p w14:paraId="1974C4A6">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b/>
          <w:sz w:val="21"/>
          <w:szCs w:val="21"/>
          <w:lang w:val="en-US" w:eastAsia="zh-CN"/>
        </w:rPr>
        <w:t>典例1：</w:t>
      </w:r>
      <w:r>
        <w:rPr>
          <w:rFonts w:ascii="宋体" w:eastAsia="宋体" w:hAnsi="宋体" w:cs="宋体" w:hint="eastAsia"/>
          <w:sz w:val="21"/>
          <w:szCs w:val="21"/>
        </w:rPr>
        <w:t>2026年，随着数字技术的发展、居民消费需求的升级，直播电商、即时零售、绿色消费等新兴消费新形态应运而生，并持续迭代升级，既满足了人民群众多样化的消费需求，又推动了经济社会发展。这体现的哲学道理是（ ）</w:t>
      </w:r>
    </w:p>
    <w:p w14:paraId="55C01497">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①社会存在决定社会意识，社会意识反作用于社会存在 ②发展具有普遍性，事物是不断变化发展的</w:t>
      </w:r>
    </w:p>
    <w:p w14:paraId="52821BBC">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③矛盾的特殊性寓于普遍性之中，普遍性离不开特殊性 ④人民群众是历史的创造者，要坚持群众路线</w:t>
      </w:r>
    </w:p>
    <w:p w14:paraId="1D5C44F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A. ①②③ B. ①②④ C. ①③④ D. ②③④</w:t>
      </w:r>
    </w:p>
    <w:p w14:paraId="17893C9B">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楷体" w:eastAsia="楷体" w:hAnsi="楷体" w:cs="楷体" w:hint="eastAsia"/>
          <w:sz w:val="21"/>
          <w:szCs w:val="21"/>
        </w:rPr>
      </w:pPr>
      <w:r>
        <w:rPr>
          <w:rFonts w:ascii="宋体" w:eastAsia="宋体" w:hAnsi="宋体" w:cs="宋体" w:hint="eastAsia"/>
          <w:b/>
          <w:sz w:val="21"/>
          <w:szCs w:val="21"/>
          <w:lang w:val="en-US" w:eastAsia="zh-CN"/>
        </w:rPr>
        <w:t>典例2：</w:t>
      </w:r>
      <w:r>
        <w:rPr>
          <w:rFonts w:ascii="楷体" w:eastAsia="楷体" w:hAnsi="楷体" w:cs="楷体" w:hint="eastAsia"/>
          <w:sz w:val="21"/>
          <w:szCs w:val="21"/>
        </w:rPr>
        <w:t>材料：2026年，我国新兴消费新形态在发展过程中，注重文化与消费的深度融合，将中华优秀传统文化、红色文化融入直播电商、体验式消费等场景，推出非遗直播、红色研学、传统文化沉浸式体验等消费项目，既丰富了消费形式，又传承了中华优秀传统文化、弘扬了红色文化；同时，绿色消费、诚信消费理念深入人心，契合社会主义核心价值观，引领了健康向上的消费风尚，为新兴消费新形态发展提供了强大文化支撑。</w:t>
      </w:r>
    </w:p>
    <w:p w14:paraId="34D07A25">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结合材料，运用《哲学与文化》知识，说明文化建设对新兴消费新形态发展的支撑作用，并分析新兴消费新形态发展体现的哲学智慧。</w:t>
      </w:r>
    </w:p>
    <w:p w14:paraId="15979D2E">
      <w:pPr>
        <w:shd w:val="clear" w:color="auto" w:fill="auto"/>
        <w:spacing w:before="0" w:after="0" w:line="360" w:lineRule="auto"/>
        <w:jc w:val="left"/>
        <w:textAlignment w:val="center"/>
        <w:rPr>
          <w:rFonts w:ascii="微软雅黑" w:eastAsia="微软雅黑" w:hAnsi="微软雅黑" w:cs="微软雅黑" w:hint="eastAsia"/>
          <w:b/>
          <w:bCs/>
          <w:color w:val="auto"/>
          <w:sz w:val="22"/>
          <w:szCs w:val="28"/>
          <w:lang w:val="en-US" w:eastAsia="zh-CN"/>
        </w:rPr>
      </w:pPr>
      <w:r>
        <w:rPr>
          <w:rFonts w:ascii="微软雅黑" w:eastAsia="微软雅黑" w:hAnsi="微软雅黑" w:cs="微软雅黑" w:hint="eastAsia"/>
          <w:b/>
          <w:bCs/>
          <w:color w:val="auto"/>
          <w:sz w:val="21"/>
          <w:lang w:val="en-US" w:eastAsia="zh-CN"/>
        </w:rPr>
        <w:drawing>
          <wp:inline distT="0" distB="0" distL="114300" distR="114300">
            <wp:extent cx="203200" cy="203200"/>
            <wp:effectExtent l="0" t="0" r="6350" b="6350"/>
            <wp:docPr id="232" name="图片 232" descr="灯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图片 232" descr="灯泡"/>
                    <pic:cNvPicPr>
                      <a:picLocks noChangeAspect="1"/>
                    </pic:cNvPicPr>
                  </pic:nvPicPr>
                  <pic:blipFill>
                    <a:blip xmlns:r="http://schemas.openxmlformats.org/officeDocument/2006/relationships" r:embed="rId9">
                      <a:extLst>
                        <a:ext uri="{96DAC541-7B7A-43D3-8B79-37D633B846F1}">
                          <asvg:svgBlip xmlns:asvg="http://schemas.microsoft.com/office/drawing/2016/SVG/main" r:embed="rId10"/>
                        </a:ext>
                      </a:extLst>
                    </a:blip>
                    <a:stretch>
                      <a:fillRect/>
                    </a:stretch>
                  </pic:blipFill>
                  <pic:spPr>
                    <a:xfrm>
                      <a:off x="0" y="0"/>
                      <a:ext cx="203200" cy="203200"/>
                    </a:xfrm>
                    <a:prstGeom prst="rect">
                      <a:avLst/>
                    </a:prstGeom>
                  </pic:spPr>
                </pic:pic>
              </a:graphicData>
            </a:graphic>
          </wp:inline>
        </w:drawing>
      </w:r>
      <w:r>
        <w:rPr>
          <w:rFonts w:ascii="微软雅黑" w:eastAsia="微软雅黑" w:hAnsi="微软雅黑" w:cs="微软雅黑" w:hint="eastAsia"/>
          <w:b/>
          <w:bCs/>
          <w:color w:val="auto"/>
          <w:sz w:val="22"/>
          <w:szCs w:val="28"/>
          <w:lang w:val="en-US" w:eastAsia="zh-CN"/>
        </w:rPr>
        <w:t>解题妙法</w:t>
      </w:r>
    </w:p>
    <w:p w14:paraId="1C9357BD">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隶书" w:eastAsia="隶书" w:hAnsi="隶书" w:cs="隶书" w:hint="eastAsia"/>
          <w:b w:val="0"/>
          <w:bCs w:val="0"/>
          <w:i w:val="0"/>
          <w:iCs w:val="0"/>
          <w:color w:val="0000FF"/>
          <w:spacing w:val="0"/>
          <w:w w:val="100"/>
          <w:sz w:val="24"/>
          <w:szCs w:val="24"/>
          <w:vertAlign w:val="baseline"/>
          <w:lang w:val="en-US" w:eastAsia="zh-CN"/>
        </w:rPr>
      </w:pPr>
      <w:r>
        <w:rPr>
          <w:sz w:val="22"/>
        </w:rPr>
        <mc:AlternateContent>
          <mc:Choice Requires="wps">
            <w:drawing>
              <wp:inline distT="0" distB="0" distL="114300" distR="114300">
                <wp:extent cx="6219825" cy="1016635"/>
                <wp:effectExtent l="6350" t="6350" r="22225" b="24765"/>
                <wp:docPr id="233" name="文本框 233"/>
                <wp:cNvGraphicFramePr/>
                <a:graphic xmlns:a="http://schemas.openxmlformats.org/drawingml/2006/main">
                  <a:graphicData uri="http://schemas.microsoft.com/office/word/2010/wordprocessingShape">
                    <wps:wsp xmlns:wps="http://schemas.microsoft.com/office/word/2010/wordprocessingShape">
                      <wps:cNvSpPr txBox="1"/>
                      <wps:spPr>
                        <a:xfrm>
                          <a:off x="852805" y="7757795"/>
                          <a:ext cx="6219825" cy="1016635"/>
                        </a:xfrm>
                        <a:prstGeom prst="roundRect">
                          <a:avLst>
                            <a:gd name="adj" fmla="val 8665"/>
                          </a:avLst>
                        </a:prstGeom>
                        <a:solidFill>
                          <a:schemeClr val="accent2">
                            <a:lumMod val="20000"/>
                            <a:lumOff val="80000"/>
                            <a:alpha val="40000"/>
                          </a:schemeClr>
                        </a:solidFill>
                        <a:ln w="12700">
                          <a:solidFill>
                            <a:schemeClr val="accent5">
                              <a:lumMod val="75000"/>
                            </a:schemeClr>
                          </a:solidFill>
                          <a:prstDash val="lgDashDotDot"/>
                        </a:ln>
                      </wps:spPr>
                      <wps:style>
                        <a:lnRef idx="0">
                          <a:schemeClr val="accent1"/>
                        </a:lnRef>
                        <a:fillRef idx="0">
                          <a:schemeClr val="accent1"/>
                        </a:fillRef>
                        <a:effectRef idx="0">
                          <a:schemeClr val="accent1"/>
                        </a:effectRef>
                        <a:fontRef idx="minor">
                          <a:schemeClr val="dk1"/>
                        </a:fontRef>
                      </wps:style>
                      <wps:txbx>
                        <w:txbxContent>
                          <w:p>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文化+哲学），先明确两个知识角度，避免遗漏；文化角度紧扣“文化支撑”，结合文化与经济的关系、文化传承等具体举措，哲学角度优先对接与“发展、联系、人民群众”相关的原理，每点均体现“材料+原理+分析”，避免原理与材料脱节。</w:t>
                            </w:r>
                          </w:p>
                          <w:p/>
                        </w:txbxContent>
                      </wps:txbx>
                      <wps:bodyPr rot="0" spcFirstLastPara="0" vertOverflow="overflow" horzOverflow="overflow" vert="horz" wrap="square" lIns="91440" tIns="45720" rIns="91440" bIns="45720" numCol="1" spcCol="0" rtlCol="0" fromWordArt="0" anchor="t" anchorCtr="0" forceAA="0" compatLnSpc="1"/>
                    </wps:wsp>
                  </a:graphicData>
                </a:graphic>
              </wp:inline>
            </w:drawing>
          </mc:Choice>
          <mc:Fallback>
            <w:pict>
              <v:roundrect id="_x0000_s1026" o:spid="_x0000_i1120" style="width:489.75pt;height:80.05pt" arcsize="5680f" coordsize="21600,21600" filled="t" fillcolor="#fce6d5" stroked="t" strokecolor="#249087">
                <v:fill opacity="26214f"/>
                <v:stroke joinstyle="round" dashstyle="longDashDotDot"/>
                <o:lock v:ext="edit" aspectratio="f"/>
                <v:textbox>
                  <w:txbxContent>
                    <w:p w14:paraId="05FDE2EE">
                      <w:pPr>
                        <w:keepNext w:val="0"/>
                        <w:keepLines w:val="0"/>
                        <w:pageBreakBefore w:val="0"/>
                        <w:widowControl w:val="0"/>
                        <w:kinsoku/>
                        <w:wordWrap/>
                        <w:overflowPunct/>
                        <w:topLinePunct w:val="0"/>
                        <w:autoSpaceDE/>
                        <w:autoSpaceDN/>
                        <w:bidi w:val="0"/>
                        <w:adjustRightInd/>
                        <w:snapToGrid/>
                        <w:spacing w:line="360" w:lineRule="auto"/>
                        <w:ind w:left="0"/>
                        <w:jc w:val="left"/>
                        <w:textAlignment w:val="auto"/>
                        <w:rPr>
                          <w:rFonts w:ascii="宋体" w:eastAsia="宋体" w:hAnsi="宋体" w:cs="宋体" w:hint="eastAsia"/>
                          <w:sz w:val="21"/>
                          <w:szCs w:val="21"/>
                        </w:rPr>
                      </w:pPr>
                      <w:r>
                        <w:rPr>
                          <w:rFonts w:ascii="宋体" w:eastAsia="宋体" w:hAnsi="宋体" w:cs="宋体" w:hint="eastAsia"/>
                          <w:sz w:val="21"/>
                          <w:szCs w:val="21"/>
                        </w:rPr>
                        <w:t>跨模块主观题（文化+哲学），先明确两个知识角度，避免遗漏；文化角度紧扣“文化支撑”，结合文化与经济的关系、文化传承等具体举措，哲学角度优先对接与“发展、联系、人民群众”相关的原理，每点均体现“材料+原理+分析”，避免原理与材料脱节。</w:t>
                      </w:r>
                    </w:p>
                    <w:p w14:paraId="4272C005"/>
                  </w:txbxContent>
                </v:textbox>
                <w10:anchorlock/>
              </v:roundrect>
            </w:pict>
          </mc:Fallback>
        </mc:AlternateContent>
      </w:r>
      <w:r>
        <w:rPr>
          <w:sz w:val="28"/>
        </w:rPr>
        <mc:AlternateContent>
          <mc:Choice Requires="wpg">
            <w:drawing>
              <wp:inline distT="0" distB="0" distL="114300" distR="114300">
                <wp:extent cx="203200" cy="280035"/>
                <wp:effectExtent l="0" t="0" r="25400" b="5715"/>
                <wp:docPr id="130" name="组合 130"/>
                <wp:cNvGraphicFramePr/>
                <a:graphic xmlns:a="http://schemas.openxmlformats.org/drawingml/2006/main">
                  <a:graphicData uri="http://schemas.microsoft.com/office/word/2010/wordprocessingGroup">
                    <wpg:wgp xmlns:wpg="http://schemas.microsoft.com/office/word/2010/wordprocessingGroup">
                      <wpg:cNvGrpSpPr/>
                      <wpg:grpSpPr>
                        <a:xfrm>
                          <a:off x="0" y="0"/>
                          <a:ext cx="203200" cy="280035"/>
                          <a:chOff x="6081" y="38224"/>
                          <a:chExt cx="389" cy="536"/>
                        </a:xfrm>
                      </wpg:grpSpPr>
                      <wps:wsp xmlns:wps="http://schemas.microsoft.com/office/word/2010/wordprocessingShape">
                        <wps:cNvPr id="131" name="圆角矩形 13"/>
                        <wps:cNvSpPr/>
                        <wps:spPr>
                          <a:xfrm rot="20820000" flipH="1">
                            <a:off x="6358" y="38413"/>
                            <a:ext cx="113" cy="340"/>
                          </a:xfrm>
                          <a:prstGeom prst="roundRect">
                            <a:avLst/>
                          </a:prstGeom>
                          <a:solidFill>
                            <a:schemeClr val="accent5">
                              <a:lumMod val="60000"/>
                              <a:lumOff val="40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32" name="矩形 16"/>
                        <wps:cNvSpPr/>
                        <wps:spPr>
                          <a:xfrm rot="21120000" flipH="1">
                            <a:off x="6225" y="38343"/>
                            <a:ext cx="113" cy="412"/>
                          </a:xfrm>
                          <a:prstGeom prst="roundRect">
                            <a:avLst/>
                          </a:prstGeom>
                          <a:solidFill>
                            <a:schemeClr val="accent6">
                              <a:lumMod val="75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s:wsp xmlns:wps="http://schemas.microsoft.com/office/word/2010/wordprocessingShape">
                        <wps:cNvPr id="133" name="圆角矩形 14"/>
                        <wps:cNvSpPr/>
                        <wps:spPr>
                          <a:xfrm flipH="1">
                            <a:off x="6081" y="38224"/>
                            <a:ext cx="120" cy="537"/>
                          </a:xfrm>
                          <a:prstGeom prst="roundRect">
                            <a:avLst/>
                          </a:prstGeom>
                          <a:solidFill>
                            <a:schemeClr val="accent1"/>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wps:wsp>
                    </wpg:wgp>
                  </a:graphicData>
                </a:graphic>
              </wp:inline>
            </w:drawing>
          </mc:Choice>
          <mc:Fallback>
            <w:pict>
              <v:group id="_x0000_s1026" o:spid="_x0000_i1121" style="width:16pt;height:22.05pt" coordorigin="6081,38224" coordsize="389,536">
                <o:lock v:ext="edit" aspectratio="f"/>
                <v:roundrect id="圆角矩形 13" o:spid="_x0000_s1122" style="width:113;height:340;flip:x;left:6358;position:absolute;rotation:13;top:38413;v-text-anchor:middle" arcsize="10923f" coordsize="21600,21600" filled="t" fillcolor="#7ddfd7" stroked="f">
                  <v:stroke joinstyle="miter"/>
                  <o:lock v:ext="edit" aspectratio="f"/>
                </v:roundrect>
                <v:roundrect id="矩形 16" o:spid="_x0000_s1123" style="width:113;height:412;flip:x;left:6225;position:absolute;rotation:8;top:38343;v-text-anchor:middle" arcsize="10923f" coordsize="21600,21600" filled="t" fillcolor="#c81d31" stroked="f">
                  <v:stroke joinstyle="miter"/>
                  <o:lock v:ext="edit" aspectratio="f"/>
                </v:roundrect>
                <v:roundrect id="圆角矩形 14" o:spid="_x0000_s1124" style="width:120;height:537;flip:x;left:6081;position:absolute;top:38224;v-text-anchor:middle" arcsize="10923f" coordsize="21600,21600" filled="t" fillcolor="#4874cb" stroked="f">
                  <v:stroke joinstyle="miter"/>
                  <o:lock v:ext="edit" aspectratio="f"/>
                </v:roundrect>
                <w10:anchorlock/>
              </v:group>
            </w:pict>
          </mc:Fallback>
        </mc:AlternateContent>
      </w:r>
      <w:r>
        <w:rPr>
          <w:rFonts w:ascii="微软雅黑" w:eastAsia="微软雅黑" w:hAnsi="微软雅黑" w:cs="微软雅黑" w:hint="eastAsia"/>
          <w:b/>
          <w:bCs/>
          <w:i w:val="0"/>
          <w:iCs w:val="0"/>
          <w:color w:val="333333"/>
          <w:spacing w:val="0"/>
          <w:w w:val="100"/>
          <w:sz w:val="28"/>
          <w:szCs w:val="28"/>
          <w:vertAlign w:val="baseline"/>
        </w:rPr>
        <w:t>终极预测</w:t>
      </w:r>
      <w:r>
        <w:rPr>
          <w:rFonts w:ascii="隶书" w:eastAsia="隶书" w:hAnsi="隶书" w:cs="隶书" w:hint="eastAsia"/>
          <w:b w:val="0"/>
          <w:bCs w:val="0"/>
          <w:i w:val="0"/>
          <w:iCs w:val="0"/>
          <w:color w:val="0000FF"/>
          <w:spacing w:val="0"/>
          <w:w w:val="100"/>
          <w:sz w:val="24"/>
          <w:szCs w:val="24"/>
          <w:vertAlign w:val="baseline"/>
          <w:lang w:val="en-US" w:eastAsia="zh-CN"/>
        </w:rPr>
        <w:t>--压轴实战 稳拿高分</w:t>
      </w:r>
    </w:p>
    <w:p w14:paraId="62B0EDFC">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一、单选题</w:t>
      </w:r>
    </w:p>
    <w:p w14:paraId="5D19DB88">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1．凭电影票用餐时可兑换折扣券、凭入境登机牌可享受专属门店的特别优惠</w:t>
      </w:r>
      <w:r>
        <w:rPr>
          <w:rFonts w:ascii="Times New Roman" w:hAnsi="Times New Roman" w:cs="Times New Roman" w:hint="default"/>
          <w:sz w:val="20"/>
        </w:rPr>
        <w:t>⋯⋯</w:t>
      </w:r>
      <w:r>
        <w:rPr>
          <w:rFonts w:ascii="Times New Roman" w:hAnsi="Times New Roman" w:cs="Times New Roman" w:hint="default"/>
          <w:sz w:val="21"/>
        </w:rPr>
        <w:t>票根经济作为一种新型经济模式，以票根为纽带，推动消费从“单一购买”向“链式体验”转型，为提振消费注入了新的活力。与传统模式相比，票根经济的优势在于（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147B50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①联动多元消费场景，提升消费体验</w:t>
      </w:r>
    </w:p>
    <w:p w14:paraId="1235484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②减少商品流通环节，降低消费成本</w:t>
      </w:r>
    </w:p>
    <w:p w14:paraId="262644F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③丰富产品供给，增加企业经营收益</w:t>
      </w:r>
    </w:p>
    <w:p w14:paraId="27CF43F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④串联消费领域，实现客源跨业共享</w:t>
      </w:r>
    </w:p>
    <w:p w14:paraId="2979104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4A549FF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所谓“陪伴经济”，是指消费者为排解孤独、寻求情感支持或丰富社交体验，通过聘请陪诊师，选择陪聊师等方式，购买各类具有陪伴属性的商品或服务，旨在获得心理慰藉、社会连接与情感满足的经济活动。这些现象聚焦于满足人们情感连接、消除孤独感、寻求精神共鸣的新型消费模式，并展现出强大的市场潜力，成为观察现代人生活方式变迁的一个重要窗口。这一新型消费行为（</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2D917C2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①有助于为社会创造更多就业机会</w:t>
      </w:r>
    </w:p>
    <w:p w14:paraId="7DA51CF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②发挥了消费对经济增长的决定性作用</w:t>
      </w:r>
    </w:p>
    <w:p w14:paraId="273A18C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③有助于推动消费转型升级与内需增长</w:t>
      </w:r>
    </w:p>
    <w:p w14:paraId="165F543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④说明我国社会保障水平已经提质增效</w:t>
      </w:r>
    </w:p>
    <w:p w14:paraId="34C65D8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7CFC6CD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3．随着数字经济不断渗透，数字消费呈现快速发展态势。2025年《政府工作报告》提出，创新和丰富消费场景，加快数字、绿色、智能等新型消费发展。下列关于发展数字消费的传导路径正确的是（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A7C73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①发展数字消费→数字要素自由流动→缩小居民收入差距→促进社会公平</w:t>
      </w:r>
    </w:p>
    <w:p w14:paraId="0F8F156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②数字赋能多元化消费场景→改善消费体验→创造消费新需求→拉动内需</w:t>
      </w:r>
    </w:p>
    <w:p w14:paraId="62BF0F2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③扩大数字基础设施投资→发展数字消费→促进经济增长→增加居民收入</w:t>
      </w:r>
    </w:p>
    <w:p w14:paraId="06C9B5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④发展数字消费→打破区域垄断→缩小区域消费差距→实现区域协调发展</w:t>
      </w:r>
    </w:p>
    <w:p w14:paraId="5FCBD075">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228B371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4．2025年12月24日，伦敦金现货价格盘中触及1525.83美元/盎司，再次刷新历史新高。金价飙升没有吓退消费者，数据显示，18至34岁的年轻人贡献了超过三分之一的黄金首饰销售额，他们抛弃了传统“保值增值”的购金理念，转而追求“悦己消费”与“稳健储蓄”的结合。这说明（</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DE9A54F">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A．黄金价格的上涨增加了消费者的购金需求</w:t>
      </w:r>
    </w:p>
    <w:p w14:paraId="432C9DEC">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B．黄金价格的波动催生了新型黄金消费心理</w:t>
      </w:r>
    </w:p>
    <w:p w14:paraId="3335EA0E">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C．人们的消费心理转变会加剧黄金价格波动</w:t>
      </w:r>
    </w:p>
    <w:p w14:paraId="7EB0BF33">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D．满足情绪价值的“悦己消费”是非理性的</w:t>
      </w:r>
    </w:p>
    <w:p w14:paraId="2D9F63C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5．2026年1月，国务院印发《关于培育新型体育消费场景的指导意见》，强调以“赛事IP+文旅融合”激发内需。数据显示，“村BA”“马拉松+非遗”等新场景带动县域体育消费增长37%。若要推出结论：“有些推动体育经济发展的是体育场景”，能分别作为大前提和小前提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22D9A5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①所有体育赛事都是体育消费新场景</w:t>
      </w:r>
      <w:r>
        <w:rPr>
          <w:rFonts w:ascii="Times New Roman" w:eastAsia="Times New Roman" w:hAnsi="Times New Roman" w:cs="Times New Roman" w:hint="default"/>
          <w:kern w:val="0"/>
          <w:sz w:val="24"/>
          <w:szCs w:val="24"/>
        </w:rPr>
        <w:t>        </w:t>
      </w:r>
    </w:p>
    <w:p w14:paraId="106BE09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②有些体育赛事能有效推动体育经济发展</w:t>
      </w:r>
    </w:p>
    <w:p w14:paraId="0A35C32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③有些体育场景能推动体育经济发展</w:t>
      </w:r>
      <w:r>
        <w:rPr>
          <w:rFonts w:ascii="Times New Roman" w:eastAsia="Times New Roman" w:hAnsi="Times New Roman" w:cs="Times New Roman" w:hint="default"/>
          <w:kern w:val="0"/>
          <w:sz w:val="24"/>
          <w:szCs w:val="24"/>
        </w:rPr>
        <w:t>        </w:t>
      </w:r>
    </w:p>
    <w:p w14:paraId="70A1A8D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④有些推动体育经济发展的是体育赛事</w:t>
      </w:r>
    </w:p>
    <w:p w14:paraId="0243F0BA">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D．③④</w:t>
      </w:r>
    </w:p>
    <w:p w14:paraId="21EC18A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6．站在“十五五”的新起点，北京将推动国际消费中心城市建设再上新台阶，成为彰显时尚的购物之城、荟萃全球风味的美食之都、传统文化和现代文明交相辉映的全球旅游目的地、引领创新生态的数字消费和新型消费标杆城市。建设国际消费中心需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004544A">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①培育本土消费新品牌，推动老字号守正创新发展</w:t>
      </w:r>
    </w:p>
    <w:p w14:paraId="6874312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②营造城市消费新场景，加快建设国际消费体验区</w:t>
      </w:r>
    </w:p>
    <w:p w14:paraId="180AA1D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③构建开放联通新市场，加强物流等基础设施建设</w:t>
      </w:r>
    </w:p>
    <w:p w14:paraId="5EE5B90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④加快发展先进制造业，使北京成为全国经济中心</w:t>
      </w:r>
    </w:p>
    <w:p w14:paraId="1EC308D6">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A．①②③</w:t>
      </w:r>
      <w:r>
        <w:rPr>
          <w:rFonts w:ascii="Times New Roman" w:hAnsi="Times New Roman" w:cs="Times New Roman" w:hint="default"/>
          <w:sz w:val="21"/>
        </w:rPr>
        <w:tab/>
      </w:r>
      <w:r>
        <w:rPr>
          <w:rFonts w:ascii="Times New Roman" w:hAnsi="Times New Roman" w:cs="Times New Roman" w:hint="default"/>
          <w:sz w:val="21"/>
        </w:rPr>
        <w:t>B．①②④</w:t>
      </w:r>
      <w:r>
        <w:rPr>
          <w:rFonts w:ascii="Times New Roman" w:hAnsi="Times New Roman" w:cs="Times New Roman" w:hint="default"/>
          <w:sz w:val="21"/>
        </w:rPr>
        <w:tab/>
      </w:r>
      <w:r>
        <w:rPr>
          <w:rFonts w:ascii="Times New Roman" w:hAnsi="Times New Roman" w:cs="Times New Roman" w:hint="default"/>
          <w:sz w:val="21"/>
        </w:rPr>
        <w:t>C．①③④</w:t>
      </w:r>
      <w:r>
        <w:rPr>
          <w:rFonts w:ascii="Times New Roman" w:hAnsi="Times New Roman" w:cs="Times New Roman" w:hint="default"/>
          <w:sz w:val="21"/>
        </w:rPr>
        <w:tab/>
      </w:r>
      <w:r>
        <w:rPr>
          <w:rFonts w:ascii="Times New Roman" w:hAnsi="Times New Roman" w:cs="Times New Roman" w:hint="default"/>
          <w:sz w:val="21"/>
        </w:rPr>
        <w:t>D．②③④</w:t>
      </w:r>
    </w:p>
    <w:p w14:paraId="33B6D8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7．中共中央办公厅、国务院办公厅印发《提振消费专项行动方案》，部署了一系列力度大、覆盖广的举措，进一步完善促进消费的体制机制，为推动中国经济增长模式向更加注重消费转型按下“加速键”。下列关于提振消费的举措传导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0C231C07">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①实施家电以旧换新政策→保障市场流动性合理充裕→提振生产性消费</w:t>
      </w:r>
    </w:p>
    <w:p w14:paraId="03344FFC">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②创新消费场景、扩大服务消费→促进消费结构升级→培育壮大新型消费</w:t>
      </w:r>
    </w:p>
    <w:p w14:paraId="17ABC52B">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③加强市场监管→优化消费市场和消费环境→增强居民的消费意愿</w:t>
      </w:r>
    </w:p>
    <w:p w14:paraId="6381B79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④降低银行贷款利率→增加居民转移性收入→扩大居民消费规模</w:t>
      </w:r>
    </w:p>
    <w:p w14:paraId="4534015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0A6591D3">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8．2025年“惠购湖北”零售餐饮消费券发放持续进行，采取线上、线下同步发放模式，该活动反响热烈，累计吸引400万人次报名，3.74万家商户积极参与。该活动发挥作用的路径是（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77645C50">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A．加大消费券的发放→降低生活成本→培育新型消费→提升消费品质→实现高质量发展</w:t>
      </w:r>
    </w:p>
    <w:p w14:paraId="36797024">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B．加大消费券的发放→消费需求增加→企业产品销售扩大→企业资金回笼→提高创新能力</w:t>
      </w:r>
    </w:p>
    <w:p w14:paraId="38DC33A2">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C．抵扣部分消费支出→增强居民消费意愿→扩大内需→促进生产发展→拉动经济增长</w:t>
      </w:r>
    </w:p>
    <w:p w14:paraId="4B1950DB">
      <w:pPr>
        <w:shd w:val="clear" w:color="auto" w:fill="auto"/>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D．抵扣部分消费支出→增强居民消费能力→扩大内需→优化产品结构→激活经济活力</w:t>
      </w:r>
    </w:p>
    <w:p w14:paraId="5B2D7D09">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9．“情绪价值”已成为年轻一代的精神刚需，“情绪消费”成为生活新方式和消费新焦点。与父辈相比，年轻人的钱不仅是花在物的占有上，更多的是投注在情感的回应、关系的连接和意义的生成上。“发疯工牌”、“丑萌文创”、“情感树洞”、“AI陪伴”、“演唱会经济”等……年轻人正在重新定义“有用”。对此，理解正确的是（</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5A530BA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①“情绪商品”的潜在价值的转化依赖于观念的创新</w:t>
      </w:r>
    </w:p>
    <w:p w14:paraId="026FE03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②新型“有用”消费，满足了年轻人个性化情绪需求</w:t>
      </w:r>
    </w:p>
    <w:p w14:paraId="56BAFD1F">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③“情绪消费”反映出价值判断与选择的社会历史性</w:t>
      </w:r>
    </w:p>
    <w:p w14:paraId="5C06069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④“情绪价值”是满足主体对客体需要的核心性因素</w:t>
      </w:r>
    </w:p>
    <w:p w14:paraId="2DE33B34">
      <w:pPr>
        <w:shd w:val="clear" w:color="auto" w:fill="auto"/>
        <w:tabs>
          <w:tab w:val="left" w:pos="2078"/>
          <w:tab w:val="left" w:pos="4156"/>
          <w:tab w:val="left" w:pos="6234"/>
        </w:tabs>
        <w:spacing w:line="360" w:lineRule="auto"/>
        <w:ind w:left="300"/>
        <w:jc w:val="left"/>
        <w:textAlignment w:val="center"/>
        <w:rPr>
          <w:rFonts w:ascii="Times New Roman" w:hAnsi="Times New Roman" w:cs="Times New Roman" w:hint="default"/>
          <w:sz w:val="21"/>
        </w:rPr>
      </w:pPr>
      <w:r>
        <w:rPr>
          <w:rFonts w:ascii="Times New Roman" w:hAnsi="Times New Roman" w:cs="Times New Roman" w:hint="default"/>
          <w:sz w:val="21"/>
        </w:rPr>
        <w:t>A．①②</w:t>
      </w:r>
      <w:r>
        <w:rPr>
          <w:rFonts w:ascii="Times New Roman" w:hAnsi="Times New Roman" w:cs="Times New Roman" w:hint="default"/>
          <w:sz w:val="21"/>
        </w:rPr>
        <w:tab/>
      </w:r>
      <w:r>
        <w:rPr>
          <w:rFonts w:ascii="Times New Roman" w:hAnsi="Times New Roman" w:cs="Times New Roman" w:hint="default"/>
          <w:sz w:val="21"/>
        </w:rPr>
        <w:t>B．②③</w:t>
      </w:r>
      <w:r>
        <w:rPr>
          <w:rFonts w:ascii="Times New Roman" w:hAnsi="Times New Roman" w:cs="Times New Roman" w:hint="default"/>
          <w:sz w:val="21"/>
        </w:rPr>
        <w:tab/>
      </w:r>
      <w:r>
        <w:rPr>
          <w:rFonts w:ascii="Times New Roman" w:hAnsi="Times New Roman" w:cs="Times New Roman" w:hint="default"/>
          <w:sz w:val="21"/>
        </w:rPr>
        <w:t>C．①③</w:t>
      </w:r>
      <w:r>
        <w:rPr>
          <w:rFonts w:ascii="Times New Roman" w:hAnsi="Times New Roman" w:cs="Times New Roman" w:hint="default"/>
          <w:sz w:val="21"/>
        </w:rPr>
        <w:tab/>
      </w:r>
      <w:r>
        <w:rPr>
          <w:rFonts w:ascii="Times New Roman" w:hAnsi="Times New Roman" w:cs="Times New Roman" w:hint="default"/>
          <w:sz w:val="21"/>
        </w:rPr>
        <w:t>D．②④</w:t>
      </w:r>
    </w:p>
    <w:p w14:paraId="5B685722">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10．为优化和扩大服务供给，释放服务消费潜力，更好满足人民群众个性化、多样化、品质化服务消费需求，2024年7月29日，国务院印发《关于促进服务消费高质量发展的意见》。贯彻和落实该意见，需要（</w:t>
      </w:r>
      <w:r>
        <w:rPr>
          <w:rFonts w:ascii="Times New Roman" w:eastAsia="Times New Roman" w:hAnsi="Times New Roman" w:cs="Times New Roman" w:hint="default"/>
          <w:kern w:val="0"/>
          <w:sz w:val="24"/>
          <w:szCs w:val="24"/>
        </w:rPr>
        <w:t>   </w:t>
      </w:r>
      <w:r>
        <w:rPr>
          <w:rFonts w:ascii="Times New Roman" w:hAnsi="Times New Roman" w:cs="Times New Roman" w:hint="default"/>
          <w:sz w:val="21"/>
        </w:rPr>
        <w:t>）</w:t>
      </w:r>
    </w:p>
    <w:p w14:paraId="61EE0A6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①通过加强服务质量监管，优化服务消费环境</w:t>
      </w:r>
    </w:p>
    <w:p w14:paraId="74C59F31">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②通过引导企业诚信经营，培育壮大新型消费</w:t>
      </w:r>
    </w:p>
    <w:p w14:paraId="221439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③通过发展校外培训机构，激发改善型消费活力</w:t>
      </w:r>
    </w:p>
    <w:p w14:paraId="66F84EA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④通过提升餐饮服务品质，挖掘基础型消费潜力</w:t>
      </w:r>
    </w:p>
    <w:p w14:paraId="3765172D">
      <w:pPr>
        <w:shd w:val="clear" w:color="auto" w:fill="auto"/>
        <w:tabs>
          <w:tab w:val="left" w:pos="2078"/>
          <w:tab w:val="left" w:pos="4156"/>
          <w:tab w:val="left" w:pos="6234"/>
        </w:tabs>
        <w:spacing w:line="360" w:lineRule="auto"/>
        <w:ind w:left="380"/>
        <w:jc w:val="left"/>
        <w:textAlignment w:val="center"/>
        <w:rPr>
          <w:rFonts w:ascii="Times New Roman" w:eastAsia="黑体" w:hAnsi="Times New Roman" w:cs="Times New Roman" w:hint="eastAsia"/>
          <w:b/>
          <w:i w:val="0"/>
          <w:color w:val="000000"/>
          <w:sz w:val="30"/>
          <w:lang w:eastAsia="zh-CN"/>
        </w:rPr>
      </w:pPr>
      <w:r>
        <w:rPr>
          <w:rFonts w:ascii="Times New Roman" w:hAnsi="Times New Roman" w:cs="Times New Roman" w:hint="default"/>
          <w:sz w:val="21"/>
        </w:rPr>
        <w:t>A．①③</w:t>
      </w:r>
      <w:r>
        <w:rPr>
          <w:rFonts w:ascii="Times New Roman" w:hAnsi="Times New Roman" w:cs="Times New Roman" w:hint="default"/>
          <w:sz w:val="21"/>
        </w:rPr>
        <w:tab/>
      </w:r>
      <w:r>
        <w:rPr>
          <w:rFonts w:ascii="Times New Roman" w:hAnsi="Times New Roman" w:cs="Times New Roman" w:hint="default"/>
          <w:sz w:val="21"/>
        </w:rPr>
        <w:t>B．①④</w:t>
      </w:r>
      <w:r>
        <w:rPr>
          <w:rFonts w:ascii="Times New Roman" w:hAnsi="Times New Roman" w:cs="Times New Roman" w:hint="default"/>
          <w:sz w:val="21"/>
        </w:rPr>
        <w:tab/>
      </w:r>
      <w:r>
        <w:rPr>
          <w:rFonts w:ascii="Times New Roman" w:hAnsi="Times New Roman" w:cs="Times New Roman" w:hint="default"/>
          <w:sz w:val="21"/>
        </w:rPr>
        <w:t>C．②③</w:t>
      </w:r>
      <w:r>
        <w:rPr>
          <w:rFonts w:ascii="Times New Roman" w:hAnsi="Times New Roman" w:cs="Times New Roman" w:hint="default"/>
          <w:sz w:val="21"/>
        </w:rPr>
        <w:tab/>
      </w:r>
      <w:r>
        <w:rPr>
          <w:rFonts w:ascii="Times New Roman" w:hAnsi="Times New Roman" w:cs="Times New Roman" w:hint="default"/>
          <w:sz w:val="21"/>
        </w:rPr>
        <w:t>D．②④</w:t>
      </w:r>
    </w:p>
    <w:p w14:paraId="28981B48">
      <w:pPr>
        <w:jc w:val="left"/>
        <w:textAlignment w:val="center"/>
        <w:rPr>
          <w:rFonts w:ascii="Times New Roman" w:eastAsia="宋体" w:hAnsi="Times New Roman" w:cs="Times New Roman" w:hint="default"/>
          <w:b/>
          <w:i w:val="0"/>
          <w:color w:val="000000"/>
          <w:sz w:val="21"/>
        </w:rPr>
      </w:pPr>
      <w:r>
        <w:rPr>
          <w:rFonts w:ascii="Times New Roman" w:eastAsia="宋体" w:hAnsi="Times New Roman" w:cs="Times New Roman" w:hint="default"/>
          <w:b/>
          <w:i w:val="0"/>
          <w:color w:val="000000"/>
          <w:sz w:val="21"/>
        </w:rPr>
        <w:t>二、材料题</w:t>
      </w:r>
    </w:p>
    <w:p w14:paraId="12084996">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11．阅读材料，完成下列要求。</w:t>
      </w:r>
    </w:p>
    <w:p w14:paraId="1A5A0DFA">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为深入贯彻落实中央关于大力提振消费的决策部署，充分发挥消费对经济发展的基础性作用，推动全省经济持续健康发展，2025年，安徽省政府正式发布《安徽省提振消费专项行动实施方案》，推出多维度精准举措：一是强化增收减负，出台城乡居民增收行动计划，针对小微企业从业者、灵活就业人员等群体提供技能培训补贴与创业担保贷款，同时优化个人所得税专项附加扣除申报流程，降低中低收入群体税负；二是支持消费新业态新模式，对直播电商产业园、社区新零售网点给予场地租赁补贴，推动“即时零售”、“无人配送”等新型消费场景落地，鼓励连锁便利店品牌拓展县域市场；三是激励文创产品开发，设立1000万元文创产业发展资金，对挖掘徽州文化、红色文化元素的文创产品研发项目给予最高50万元补助，支持文创企业与高校、博物馆开展合作，培育“皖美文创”特色品牌；四是优化文旅消费支持，统筹安排8000万元专项资金，重点用于“皖美民宿”品牌升级与入境旅游奖励；五是加大财政统筹力度，整合各类消费补贴资金超5亿元，通过“皖里畅购”消费券平台定向发放家电、汽车、餐饮等领域补贴，撬动市场消费。</w:t>
      </w:r>
    </w:p>
    <w:p w14:paraId="6FE0CF14">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结合材料，运用《经济与社会》知识，说明安徽省政府是如何深挖消费潜力、助力经济高质量发展的。</w:t>
      </w:r>
    </w:p>
    <w:p w14:paraId="51BB30E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12．阅读下列材料，回答问题。</w:t>
      </w:r>
    </w:p>
    <w:p w14:paraId="4CC20589">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经济社会的发展离不开党的领导和国家政策的引领。</w:t>
      </w:r>
    </w:p>
    <w:p w14:paraId="6E581ED8">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面对当前消费不足的情况，为了更好地发挥消费对经济发展的基础性作用，国家把促消费和惠民生结合起来，实施提振消费行动。为此，国家推出了两项具体政策。一是加大对特定群体的支持力度，促进中低收入群体增收。向特困人员、孤儿等困难群众发放一次性生活补助。提高学生资助补助标准并扩大政策覆盖面，提高本专科生、研究生国家助学贷款额度，降低贷款利率。二是扩大养老、托育等服务消费。支持和规范社会力量发展养老、托育产业，抓紧完善生育支持政策体系，提高基本生育和儿童医疗公共服务水平。要培育数字消费、绿色消费等新型消费业态，增强供给侧对中高端需求的适配性。</w:t>
      </w:r>
    </w:p>
    <w:p w14:paraId="03B7CEFD">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结合材料，运用价值判断与价值选择的相关知识，说明国家政策制定的依据。</w:t>
      </w:r>
    </w:p>
    <w:p w14:paraId="4665B46E">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13．阅读材料，完成下列要求。</w:t>
      </w:r>
    </w:p>
    <w:p w14:paraId="12D0CE06">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提振消费是扩大内需、做大做强国内大循环的重中之重。</w:t>
      </w:r>
    </w:p>
    <w:p w14:paraId="0F810139">
      <w:pPr>
        <w:shd w:val="clear" w:color="auto" w:fill="auto"/>
        <w:spacing w:line="360" w:lineRule="auto"/>
        <w:jc w:val="center"/>
        <w:textAlignment w:val="center"/>
        <w:rPr>
          <w:rFonts w:ascii="Times New Roman" w:hAnsi="Times New Roman" w:cs="Times New Roman" w:hint="default"/>
          <w:sz w:val="21"/>
        </w:rPr>
      </w:pPr>
      <w:r>
        <w:rPr>
          <w:rFonts w:ascii="Times New Roman" w:eastAsia="楷体" w:hAnsi="Times New Roman" w:cs="Times New Roman" w:hint="default"/>
          <w:sz w:val="21"/>
        </w:rPr>
        <w:t>【国常会研究提振消费】</w:t>
      </w:r>
    </w:p>
    <w:p w14:paraId="3EC22778">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2025年2月10日，国务院召开常务会议研究提振消费有关工作。会议指出，要聚焦牵动性强、增长空间大的消费领域，深挖消费潜力。促进服务消费提质惠民，优化</w:t>
      </w:r>
      <w:r>
        <w:rPr>
          <w:rFonts w:ascii="Times New Roman" w:hAnsi="Times New Roman" w:cs="Times New Roman" w:hint="default"/>
          <w:sz w:val="21"/>
        </w:rPr>
        <w:t>“</w:t>
      </w:r>
      <w:r>
        <w:rPr>
          <w:rFonts w:ascii="Times New Roman" w:eastAsia="楷体" w:hAnsi="Times New Roman" w:cs="Times New Roman" w:hint="default"/>
          <w:sz w:val="21"/>
        </w:rPr>
        <w:t>一老一小</w:t>
      </w:r>
      <w:r>
        <w:rPr>
          <w:rFonts w:ascii="Times New Roman" w:hAnsi="Times New Roman" w:cs="Times New Roman" w:hint="default"/>
          <w:sz w:val="21"/>
        </w:rPr>
        <w:t>”</w:t>
      </w:r>
      <w:r>
        <w:rPr>
          <w:rFonts w:ascii="Times New Roman" w:eastAsia="楷体" w:hAnsi="Times New Roman" w:cs="Times New Roman" w:hint="default"/>
          <w:sz w:val="21"/>
        </w:rPr>
        <w:t>服务供给，支持便民服务消费，扩大文体旅游消费，推动冰雪消费，发展入境消费。推动大宗消费更新升级，加大消费品以旧换新支持力度，更好满足住房消费需求，延伸汽车消费链条。强化消费品牌引领，支持新型消费加快发展，促进</w:t>
      </w:r>
      <w:r>
        <w:rPr>
          <w:rFonts w:ascii="Times New Roman" w:hAnsi="Times New Roman" w:cs="Times New Roman" w:hint="default"/>
          <w:sz w:val="21"/>
        </w:rPr>
        <w:t>“</w:t>
      </w:r>
      <w:r>
        <w:rPr>
          <w:rFonts w:ascii="Times New Roman" w:eastAsia="楷体" w:hAnsi="Times New Roman" w:cs="Times New Roman" w:hint="default"/>
          <w:sz w:val="21"/>
        </w:rPr>
        <w:t>人工智能+消费</w:t>
      </w:r>
      <w:r>
        <w:rPr>
          <w:rFonts w:ascii="Times New Roman" w:hAnsi="Times New Roman" w:cs="Times New Roman" w:hint="default"/>
          <w:sz w:val="21"/>
        </w:rPr>
        <w:t>”</w:t>
      </w:r>
      <w:r>
        <w:rPr>
          <w:rFonts w:ascii="Times New Roman" w:eastAsia="楷体" w:hAnsi="Times New Roman" w:cs="Times New Roman" w:hint="default"/>
          <w:sz w:val="21"/>
        </w:rPr>
        <w:t>、健康消费等，持续打造消费新产品新场景新热点。要实施优化消费环境三年行动，进一步完善质量标准、信用约束、综合治理、消费维权等制度，着力解决群众反映强烈的突出问题，营造放心的消费环境。</w:t>
      </w:r>
    </w:p>
    <w:p w14:paraId="1A34B210">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(1)结合材料，运用“提高创新思维能力”的知识，分析国务院常务会议提振消费的举措。</w:t>
      </w:r>
    </w:p>
    <w:p w14:paraId="231EFB53">
      <w:pPr>
        <w:shd w:val="clear" w:color="auto" w:fill="auto"/>
        <w:spacing w:line="360" w:lineRule="auto"/>
        <w:jc w:val="center"/>
        <w:textAlignment w:val="center"/>
        <w:rPr>
          <w:rFonts w:ascii="Times New Roman" w:hAnsi="Times New Roman" w:cs="Times New Roman" w:hint="default"/>
          <w:sz w:val="21"/>
        </w:rPr>
      </w:pPr>
      <w:r>
        <w:rPr>
          <w:rFonts w:ascii="Times New Roman" w:eastAsia="楷体" w:hAnsi="Times New Roman" w:cs="Times New Roman" w:hint="default"/>
          <w:sz w:val="21"/>
        </w:rPr>
        <w:t>【AI+消费有望站上风口】</w:t>
      </w:r>
    </w:p>
    <w:p w14:paraId="5E80AC4F">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拓展</w:t>
      </w:r>
      <w:r>
        <w:rPr>
          <w:rFonts w:ascii="Times New Roman" w:hAnsi="Times New Roman" w:cs="Times New Roman" w:hint="default"/>
          <w:sz w:val="21"/>
        </w:rPr>
        <w:t>“</w:t>
      </w:r>
      <w:r>
        <w:rPr>
          <w:rFonts w:ascii="Times New Roman" w:eastAsia="楷体" w:hAnsi="Times New Roman" w:cs="Times New Roman" w:hint="default"/>
          <w:sz w:val="21"/>
        </w:rPr>
        <w:t>人工智能+消费</w:t>
      </w:r>
      <w:r>
        <w:rPr>
          <w:rFonts w:ascii="Times New Roman" w:hAnsi="Times New Roman" w:cs="Times New Roman" w:hint="default"/>
          <w:sz w:val="21"/>
        </w:rPr>
        <w:t>”</w:t>
      </w:r>
      <w:r>
        <w:rPr>
          <w:rFonts w:ascii="Times New Roman" w:eastAsia="楷体" w:hAnsi="Times New Roman" w:cs="Times New Roman" w:hint="default"/>
          <w:sz w:val="21"/>
        </w:rPr>
        <w:t>应用场景，成为各地挖掘消费潜力的重要方向。作为一种新型消费模式，智能消费借助深度数据分析与用户精准画像，为消费者带来更为便捷的消费体验与服务选择。其应用领域较为广泛，包括智能家居、可穿戴技术产品、互联网医疗服务、智能汽车以及电商平台等多个领域。</w:t>
      </w:r>
    </w:p>
    <w:tbl>
      <w:tblPr>
        <w:tblStyle w:val="TableNormal"/>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
      <w:tblGrid>
        <w:gridCol w:w="5215"/>
        <w:gridCol w:w="4777"/>
      </w:tblGrid>
      <w:tr w14:paraId="48332711">
        <w:tblPrEx>
          <w:tblW w:w="0" w:type="auto"/>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PrEx>
        <w:tc>
          <w:tcPr>
            <w:tcW w:w="0" w:type="auto"/>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7390919C">
            <w:pPr>
              <w:shd w:val="clear" w:color="auto" w:fill="auto"/>
              <w:spacing w:line="360" w:lineRule="auto"/>
              <w:jc w:val="center"/>
              <w:textAlignment w:val="center"/>
              <w:rPr>
                <w:rFonts w:ascii="Times New Roman" w:hAnsi="Times New Roman" w:cs="Times New Roman" w:hint="default"/>
                <w:sz w:val="21"/>
              </w:rPr>
            </w:pPr>
            <w:r>
              <w:rPr>
                <w:rFonts w:ascii="Times New Roman" w:eastAsia="楷体" w:hAnsi="Times New Roman" w:cs="Times New Roman" w:hint="default"/>
                <w:sz w:val="21"/>
              </w:rPr>
              <w:t>居然智家已完成三大数智化业务平台居然设计家、居然智慧家、洞窝DeepSeek服务接入。通过接入DeepSeek，可根据用户日常行为习惯和环境数据，自动生成更贴合用户需求的场景模式。</w:t>
            </w:r>
          </w:p>
        </w:tc>
        <w:tc>
          <w:tcPr>
            <w:tcW w:w="0" w:type="auto"/>
            <w:tcBorders>
              <w:top w:val="single" w:sz="6" w:space="0" w:color="000000"/>
              <w:left w:val="single" w:sz="6" w:space="0" w:color="000000"/>
              <w:bottom w:val="single" w:sz="6" w:space="0" w:color="000000"/>
              <w:right w:val="single" w:sz="6" w:space="0" w:color="000000"/>
            </w:tcBorders>
            <w:noWrap w:val="0"/>
            <w:tcMar>
              <w:top w:w="75" w:type="dxa"/>
              <w:bottom w:w="75" w:type="dxa"/>
            </w:tcMar>
            <w:vAlign w:val="center"/>
          </w:tcPr>
          <w:p w14:paraId="5626CF22">
            <w:pPr>
              <w:shd w:val="clear" w:color="auto" w:fill="auto"/>
              <w:spacing w:line="360" w:lineRule="auto"/>
              <w:ind w:firstLine="560"/>
              <w:jc w:val="left"/>
              <w:textAlignment w:val="center"/>
              <w:rPr>
                <w:rFonts w:ascii="Times New Roman" w:hAnsi="Times New Roman" w:cs="Times New Roman" w:hint="default"/>
                <w:sz w:val="21"/>
              </w:rPr>
            </w:pPr>
            <w:r>
              <w:rPr>
                <w:rFonts w:ascii="Times New Roman" w:eastAsia="楷体" w:hAnsi="Times New Roman" w:cs="Times New Roman" w:hint="default"/>
                <w:sz w:val="21"/>
              </w:rPr>
              <w:t>值得买推出自研人工智能购物助手</w:t>
            </w:r>
            <w:r>
              <w:rPr>
                <w:rFonts w:ascii="Times New Roman" w:hAnsi="Times New Roman" w:cs="Times New Roman" w:hint="default"/>
                <w:sz w:val="21"/>
              </w:rPr>
              <w:t>“</w:t>
            </w:r>
            <w:r>
              <w:rPr>
                <w:rFonts w:ascii="Times New Roman" w:eastAsia="楷体" w:hAnsi="Times New Roman" w:cs="Times New Roman" w:hint="default"/>
                <w:sz w:val="21"/>
              </w:rPr>
              <w:t>小值</w:t>
            </w:r>
            <w:r>
              <w:rPr>
                <w:rFonts w:ascii="Times New Roman" w:hAnsi="Times New Roman" w:cs="Times New Roman" w:hint="default"/>
                <w:sz w:val="21"/>
              </w:rPr>
              <w:t>”</w:t>
            </w:r>
            <w:r>
              <w:rPr>
                <w:rFonts w:ascii="Times New Roman" w:eastAsia="楷体" w:hAnsi="Times New Roman" w:cs="Times New Roman" w:hint="default"/>
                <w:sz w:val="21"/>
              </w:rPr>
              <w:t>，可基于消费者日常使用需求，提供全网比价、商品推荐、商品对比、评价总结等多种功能，帮助用户提升消费决策的效率和质量。</w:t>
            </w:r>
          </w:p>
        </w:tc>
      </w:tr>
    </w:tbl>
    <w:p w14:paraId="5EB75865">
      <w:pPr>
        <w:shd w:val="clear" w:color="auto" w:fill="auto"/>
        <w:spacing w:line="360" w:lineRule="auto"/>
        <w:jc w:val="left"/>
        <w:textAlignment w:val="center"/>
        <w:rPr>
          <w:rFonts w:ascii="Times New Roman" w:hAnsi="Times New Roman" w:cs="Times New Roman" w:hint="default"/>
          <w:sz w:val="21"/>
        </w:rPr>
      </w:pPr>
      <w:r>
        <w:rPr>
          <w:rFonts w:ascii="Times New Roman" w:hAnsi="Times New Roman" w:cs="Times New Roman" w:hint="default"/>
          <w:sz w:val="21"/>
        </w:rPr>
        <w:t>(2)拓展“人工智能+消费”应用场景促进居民消费升级。结合材料，运用《经济与社会》的知识对此加以说明。</w:t>
      </w:r>
    </w:p>
    <w:p w14:paraId="006FEA05">
      <w:pPr>
        <w:keepNext w:val="0"/>
        <w:keepLines w:val="0"/>
        <w:pageBreakBefore w:val="0"/>
        <w:widowControl w:val="0"/>
        <w:kinsoku/>
        <w:wordWrap/>
        <w:overflowPunct/>
        <w:topLinePunct w:val="0"/>
        <w:autoSpaceDE/>
        <w:autoSpaceDN/>
        <w:bidi w:val="0"/>
        <w:adjustRightInd/>
        <w:snapToGrid/>
        <w:spacing w:line="240" w:lineRule="auto"/>
        <w:textAlignment w:val="auto"/>
        <w:rPr>
          <w:rFonts w:ascii="Times New Roman" w:hAnsi="Times New Roman" w:eastAsiaTheme="minorEastAsia" w:cs="Times New Roman" w:hint="eastAsia"/>
          <w:sz w:val="21"/>
          <w:lang w:val="en-US" w:eastAsia="zh-CN"/>
        </w:rPr>
      </w:pPr>
    </w:p>
    <w:sectPr>
      <w:headerReference w:type="default" r:id="rId14"/>
      <w:footerReference w:type="default" r:id="rId15"/>
      <w:pgSz w:w="11906" w:h="16838"/>
      <w:pgMar w:top="1417" w:right="1077" w:bottom="1417" w:left="1077"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embedRegular r:id="rId1" w:subsetted="1" w:fontKey="{BAABAAAD-2F26-40FE-B421-9E56E321ED5D}"/>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2" w:subsetted="1" w:fontKey="{AF2584CE-1701-48A0-8A74-4FFD9E7B8349}"/>
  </w:font>
  <w:font w:name="Courier New">
    <w:panose1 w:val="02070309020205020404"/>
    <w:charset w:val="01"/>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embedRegular r:id="rId3" w:subsetted="1" w:fontKey="{4CABFBD3-85D8-4818-9C5A-E5CC83B85E50}"/>
  </w:font>
  <w:font w:name="微软雅黑">
    <w:panose1 w:val="020B0503020204020204"/>
    <w:charset w:val="86"/>
    <w:family w:val="swiss"/>
    <w:pitch w:val="default"/>
    <w:sig w:usb0="80000287" w:usb1="2ACF3C50" w:usb2="00000016" w:usb3="00000000" w:csb0="0004001F" w:csb1="00000000"/>
    <w:embedBold r:id="rId4" w:subsetted="1" w:fontKey="{1BA92D79-1686-4041-BEE7-DCA6BC72B051}"/>
  </w:font>
  <w:font w:name="隶书">
    <w:panose1 w:val="02010509060101010101"/>
    <w:charset w:val="86"/>
    <w:family w:val="auto"/>
    <w:pitch w:val="default"/>
    <w:sig w:usb0="00000001" w:usb1="080E0000" w:usb2="00000000" w:usb3="00000000" w:csb0="00040000" w:csb1="00000000"/>
    <w:embedRegular r:id="rId5" w:subsetted="1" w:fontKey="{EF93B909-4160-4819-9B1C-8B3D0ECF9425}"/>
  </w:font>
  <w:font w:name="楷体">
    <w:panose1 w:val="02010609060101010101"/>
    <w:charset w:val="86"/>
    <w:family w:val="auto"/>
    <w:pitch w:val="default"/>
    <w:sig w:usb0="800002BF" w:usb1="38CF7CFA" w:usb2="00000016" w:usb3="00000000" w:csb0="00040001" w:csb1="00000000"/>
    <w:embedRegular r:id="rId6" w:subsetted="1" w:fontKey="{F12EAFAD-5E6C-4635-9B4F-89B8B3ABC031}"/>
  </w:font>
  <w:font w:name="华文中宋">
    <w:panose1 w:val="02010600040101010101"/>
    <w:charset w:val="86"/>
    <w:family w:val="auto"/>
    <w:pitch w:val="default"/>
    <w:sig w:usb0="00000287" w:usb1="080F0000" w:usb2="00000000" w:usb3="00000000" w:csb0="0004009F" w:csb1="DFD70000"/>
    <w:embedRegular r:id="rId7" w:subsetted="1" w:fontKey="{F12F9723-B466-4FC4-9522-C401C4DEC9A9}"/>
  </w:font>
  <w:font w:name="Calibri Light">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B0FE319">
    <w:pPr>
      <w:spacing w:before="0" w:after="0" w:line="240" w:lineRule="auto"/>
      <w:jc w:val="center"/>
    </w:pPr>
    <w:r>
      <w:rPr>
        <w:rFonts w:ascii="Times New Roman" w:eastAsia="Times New Roman" w:hAnsi="Times New Roman"/>
        <w:b w:val="0"/>
        <w:sz w:val="21"/>
      </w:rPr>
      <w:fldChar w:fldCharType="begin"/>
    </w:r>
    <w:r>
      <w:rPr>
        <w:rFonts w:ascii="Times New Roman" w:eastAsia="Times New Roman" w:hAnsi="Times New Roman"/>
        <w:b w:val="0"/>
        <w:sz w:val="21"/>
      </w:rPr>
      <w:instrText>PAGE</w:instrText>
    </w:r>
    <w:r>
      <w:rPr>
        <w:rFonts w:ascii="Times New Roman" w:eastAsia="Times New Roman" w:hAnsi="Times New Roman"/>
        <w:b w:val="0"/>
        <w:sz w:val="21"/>
      </w:rPr>
      <w:fldChar w:fldCharType="separate"/>
    </w:r>
    <w:r>
      <w:rPr>
        <w:rFonts w:ascii="Times New Roman" w:eastAsia="Times New Roman" w:hAnsi="Times New Roman"/>
        <w:b w:val="0"/>
        <w:sz w:val="21"/>
      </w:rPr>
      <w:fldChar w:fldCharType="end"/>
    </w:r>
    <w:r>
      <w:rPr>
        <w:rFonts w:ascii="Times New Roman" w:eastAsia="Times New Roman" w:hAnsi="Times New Roman"/>
        <w:b w:val="0"/>
        <w:sz w:val="21"/>
      </w:rPr>
      <w:t xml:space="preserve"> / </w:t>
    </w:r>
    <w:r>
      <w:rPr>
        <w:rFonts w:ascii="Times New Roman" w:eastAsia="Times New Roman" w:hAnsi="Times New Roman"/>
        <w:b w:val="0"/>
        <w:sz w:val="21"/>
      </w:rPr>
      <w:fldChar w:fldCharType="begin"/>
    </w:r>
    <w:r>
      <w:rPr>
        <w:rFonts w:ascii="Times New Roman" w:eastAsia="Times New Roman" w:hAnsi="Times New Roman"/>
        <w:b w:val="0"/>
        <w:sz w:val="21"/>
      </w:rPr>
      <w:instrText>NUMPAGES</w:instrText>
    </w:r>
    <w:r>
      <w:rPr>
        <w:rFonts w:ascii="Times New Roman" w:eastAsia="Times New Roman" w:hAnsi="Times New Roman"/>
        <w:b w:val="0"/>
        <w:sz w:val="21"/>
      </w:rPr>
      <w:fldChar w:fldCharType="separate"/>
    </w:r>
    <w:r>
      <w:rPr>
        <w:rFonts w:ascii="Times New Roman" w:eastAsia="Times New Roman" w:hAnsi="Times New Roman"/>
        <w:b w:val="0"/>
        <w:sz w:val="21"/>
      </w:rPr>
      <w:fldChar w:fldCharType="end"/>
    </w:r>
  </w:p>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6CD08156">
    <w:r>
      <w:drawing>
        <wp:inline distT="0" distB="0" distL="114300" distR="114300">
          <wp:extent cx="6207125" cy="1905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xmlns:r="http://schemas.openxmlformats.org/officeDocument/2006/relationships" r:embed="rId1"/>
                  <a:stretch>
                    <a:fillRect/>
                  </a:stretch>
                </pic:blipFill>
                <pic:spPr>
                  <a:xfrm>
                    <a:off x="0" y="0"/>
                    <a:ext cx="6207125" cy="190500"/>
                  </a:xfrm>
                  <a:prstGeom prst="rect">
                    <a:avLst/>
                  </a:prstGeom>
                </pic:spPr>
              </pic:pic>
            </a:graphicData>
          </a:graphic>
        </wp:inline>
      </w:drawing>
    </w:r>
  </w:p>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2" r:href="rId3"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isplayBackgroundShape/>
  <w:embedTrueTypeFonts/>
  <w:saveSubsetFonts/>
  <w:defaultTabStop w:val="420"/>
  <w:drawingGridVerticalSpacing w:val="156"/>
  <w:doNotShadeFormData/>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D1B532C"/>
    <w:rsid w:val="004151FC"/>
    <w:rsid w:val="00AD4A4C"/>
    <w:rsid w:val="00C02FC6"/>
    <w:rsid w:val="00FB202B"/>
    <w:rsid w:val="015B1456"/>
    <w:rsid w:val="01B70B0C"/>
    <w:rsid w:val="01EE3778"/>
    <w:rsid w:val="025F1F63"/>
    <w:rsid w:val="04574575"/>
    <w:rsid w:val="04B35857"/>
    <w:rsid w:val="05D673E7"/>
    <w:rsid w:val="063F2D6E"/>
    <w:rsid w:val="06D82C35"/>
    <w:rsid w:val="08C40A39"/>
    <w:rsid w:val="094565A6"/>
    <w:rsid w:val="09737F58"/>
    <w:rsid w:val="09753629"/>
    <w:rsid w:val="09B554AF"/>
    <w:rsid w:val="09FB0496"/>
    <w:rsid w:val="0AC6408E"/>
    <w:rsid w:val="0ACD59B9"/>
    <w:rsid w:val="0B1735B7"/>
    <w:rsid w:val="0B392A83"/>
    <w:rsid w:val="0B911AD5"/>
    <w:rsid w:val="0D1F42CE"/>
    <w:rsid w:val="0FD11222"/>
    <w:rsid w:val="107B1C54"/>
    <w:rsid w:val="10D62DAA"/>
    <w:rsid w:val="113E6D4E"/>
    <w:rsid w:val="1255707D"/>
    <w:rsid w:val="12E41216"/>
    <w:rsid w:val="12FF36EB"/>
    <w:rsid w:val="16697BC9"/>
    <w:rsid w:val="16827DDC"/>
    <w:rsid w:val="179A46CB"/>
    <w:rsid w:val="17BE1129"/>
    <w:rsid w:val="190F238B"/>
    <w:rsid w:val="1A3C3801"/>
    <w:rsid w:val="1A673FE6"/>
    <w:rsid w:val="1BB14F5E"/>
    <w:rsid w:val="1BE81C3D"/>
    <w:rsid w:val="1D1B532C"/>
    <w:rsid w:val="1DE9780B"/>
    <w:rsid w:val="1EA04D6D"/>
    <w:rsid w:val="1F4F65AC"/>
    <w:rsid w:val="1F7D4CFD"/>
    <w:rsid w:val="200D799B"/>
    <w:rsid w:val="20210F16"/>
    <w:rsid w:val="202A5F3D"/>
    <w:rsid w:val="21714BE3"/>
    <w:rsid w:val="22C87CCC"/>
    <w:rsid w:val="22EE2BF7"/>
    <w:rsid w:val="23706277"/>
    <w:rsid w:val="2421138D"/>
    <w:rsid w:val="26DD1106"/>
    <w:rsid w:val="27C310D8"/>
    <w:rsid w:val="28F341AD"/>
    <w:rsid w:val="2AF508CA"/>
    <w:rsid w:val="2BF57C61"/>
    <w:rsid w:val="2C6F560B"/>
    <w:rsid w:val="2CD4059A"/>
    <w:rsid w:val="2DBE71EC"/>
    <w:rsid w:val="2E5B7B24"/>
    <w:rsid w:val="2EF83ACC"/>
    <w:rsid w:val="2F6E45DF"/>
    <w:rsid w:val="2FF41B55"/>
    <w:rsid w:val="30241FF9"/>
    <w:rsid w:val="3047022C"/>
    <w:rsid w:val="30617345"/>
    <w:rsid w:val="314B289F"/>
    <w:rsid w:val="315F5E38"/>
    <w:rsid w:val="319C31C5"/>
    <w:rsid w:val="32C03CB6"/>
    <w:rsid w:val="32EE71B8"/>
    <w:rsid w:val="33C54E00"/>
    <w:rsid w:val="34091462"/>
    <w:rsid w:val="34942A86"/>
    <w:rsid w:val="34AB7F6A"/>
    <w:rsid w:val="35614F37"/>
    <w:rsid w:val="3588021D"/>
    <w:rsid w:val="35E07D19"/>
    <w:rsid w:val="369B413C"/>
    <w:rsid w:val="379322BB"/>
    <w:rsid w:val="37E278A1"/>
    <w:rsid w:val="396377CC"/>
    <w:rsid w:val="3A0C574A"/>
    <w:rsid w:val="3A353682"/>
    <w:rsid w:val="3A850402"/>
    <w:rsid w:val="3AC53E9D"/>
    <w:rsid w:val="3D4B73E3"/>
    <w:rsid w:val="3DCE47AE"/>
    <w:rsid w:val="403A5950"/>
    <w:rsid w:val="404C4B04"/>
    <w:rsid w:val="410E1E7E"/>
    <w:rsid w:val="41234BFB"/>
    <w:rsid w:val="41850217"/>
    <w:rsid w:val="418C02C8"/>
    <w:rsid w:val="4352382C"/>
    <w:rsid w:val="43AF1C00"/>
    <w:rsid w:val="440509BF"/>
    <w:rsid w:val="44A514B6"/>
    <w:rsid w:val="46DA1AD6"/>
    <w:rsid w:val="48D43294"/>
    <w:rsid w:val="497E31DE"/>
    <w:rsid w:val="4A1B511C"/>
    <w:rsid w:val="4A867782"/>
    <w:rsid w:val="4B36139E"/>
    <w:rsid w:val="4B625D8D"/>
    <w:rsid w:val="4BD061D0"/>
    <w:rsid w:val="4C54121B"/>
    <w:rsid w:val="4C770A8C"/>
    <w:rsid w:val="4D4660D3"/>
    <w:rsid w:val="4E0E1B7E"/>
    <w:rsid w:val="4F74146C"/>
    <w:rsid w:val="500512BE"/>
    <w:rsid w:val="504B30B2"/>
    <w:rsid w:val="50A26ECD"/>
    <w:rsid w:val="51532E06"/>
    <w:rsid w:val="51B0094E"/>
    <w:rsid w:val="529720BE"/>
    <w:rsid w:val="52B4671E"/>
    <w:rsid w:val="53DC66E6"/>
    <w:rsid w:val="54396E8B"/>
    <w:rsid w:val="54933DD5"/>
    <w:rsid w:val="549C0F78"/>
    <w:rsid w:val="54BC0430"/>
    <w:rsid w:val="55BA7836"/>
    <w:rsid w:val="55BB2CD7"/>
    <w:rsid w:val="55C4367B"/>
    <w:rsid w:val="56AA661C"/>
    <w:rsid w:val="56FC15F5"/>
    <w:rsid w:val="59C77FBD"/>
    <w:rsid w:val="5A345D45"/>
    <w:rsid w:val="5A51741D"/>
    <w:rsid w:val="5E1C39BA"/>
    <w:rsid w:val="5F002391"/>
    <w:rsid w:val="60126D95"/>
    <w:rsid w:val="607941B8"/>
    <w:rsid w:val="61864118"/>
    <w:rsid w:val="63A728E8"/>
    <w:rsid w:val="65DF33A5"/>
    <w:rsid w:val="673F6B10"/>
    <w:rsid w:val="67DB26DD"/>
    <w:rsid w:val="68C41FE4"/>
    <w:rsid w:val="6A596763"/>
    <w:rsid w:val="6B1201EA"/>
    <w:rsid w:val="6C827A36"/>
    <w:rsid w:val="6CD7699E"/>
    <w:rsid w:val="6D40103A"/>
    <w:rsid w:val="6D8D0B56"/>
    <w:rsid w:val="6EAC6522"/>
    <w:rsid w:val="6F9A2F2D"/>
    <w:rsid w:val="70CA64A0"/>
    <w:rsid w:val="7176290C"/>
    <w:rsid w:val="72335424"/>
    <w:rsid w:val="73227BE3"/>
    <w:rsid w:val="74455C63"/>
    <w:rsid w:val="755503F6"/>
    <w:rsid w:val="759A5721"/>
    <w:rsid w:val="769C1D6D"/>
    <w:rsid w:val="779D260C"/>
    <w:rsid w:val="781F604F"/>
    <w:rsid w:val="78707739"/>
    <w:rsid w:val="78F53B01"/>
    <w:rsid w:val="79777D2E"/>
    <w:rsid w:val="79FE0C3B"/>
    <w:rsid w:val="7A456C8B"/>
    <w:rsid w:val="7A7F42CC"/>
    <w:rsid w:val="7B5A045A"/>
    <w:rsid w:val="7C605991"/>
    <w:rsid w:val="7DDE2FF4"/>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semiHidden="0" w:uiPriority="0" w:unhideWhenUsed="0" w:qFormat="1"/>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4"/>
      <w:lang w:val="en-US" w:eastAsia="zh-CN" w:bidi="ar-SA"/>
    </w:rPr>
  </w:style>
  <w:style w:type="paragraph" w:styleId="Heading3">
    <w:name w:val="heading 3"/>
    <w:basedOn w:val="Normal"/>
    <w:next w:val="Normal"/>
    <w:semiHidden/>
    <w:unhideWhenUsed/>
    <w:qFormat/>
    <w:pPr>
      <w:spacing w:before="0" w:beforeAutospacing="1" w:after="0" w:afterAutospacing="1"/>
      <w:jc w:val="left"/>
      <w:outlineLvl w:val="2"/>
    </w:pPr>
    <w:rPr>
      <w:rFonts w:ascii="宋体" w:eastAsia="宋体" w:hAnsi="宋体" w:cs="宋体" w:hint="eastAsia"/>
      <w:b/>
      <w:bCs/>
      <w:kern w:val="0"/>
      <w:sz w:val="27"/>
      <w:szCs w:val="27"/>
      <w:lang w:val="en-US" w:eastAsia="zh-CN" w:bidi="ar"/>
    </w:rPr>
  </w:style>
  <w:style w:type="paragraph" w:styleId="Heading4">
    <w:name w:val="heading 4"/>
    <w:basedOn w:val="Normal"/>
    <w:next w:val="Normal"/>
    <w:semiHidden/>
    <w:unhideWhenUsed/>
    <w:qFormat/>
    <w:pPr>
      <w:spacing w:before="0" w:beforeAutospacing="1" w:after="0" w:afterAutospacing="1"/>
      <w:jc w:val="left"/>
      <w:outlineLvl w:val="3"/>
    </w:pPr>
    <w:rPr>
      <w:rFonts w:ascii="宋体" w:eastAsia="宋体" w:hAnsi="宋体" w:cs="宋体" w:hint="eastAsia"/>
      <w:b/>
      <w:bCs/>
      <w:kern w:val="0"/>
      <w:sz w:val="24"/>
      <w:szCs w:val="24"/>
      <w:lang w:val="en-US" w:eastAsia="zh-CN" w:bidi="ar"/>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qFormat/>
    <w:rPr>
      <w:rFonts w:ascii="宋体" w:hAnsi="Courier New" w:cs="Courier New"/>
      <w:szCs w:val="21"/>
    </w:rPr>
  </w:style>
  <w:style w:type="paragraph" w:styleId="Footer">
    <w:name w:val="footer"/>
    <w:basedOn w:val="Normal"/>
    <w:link w:val="a0"/>
    <w:qFormat/>
    <w:pPr>
      <w:tabs>
        <w:tab w:val="center" w:pos="4153"/>
        <w:tab w:val="right" w:pos="8306"/>
      </w:tabs>
      <w:snapToGrid w:val="0"/>
      <w:jc w:val="left"/>
    </w:pPr>
    <w:rPr>
      <w:sz w:val="18"/>
      <w:szCs w:val="18"/>
    </w:rPr>
  </w:style>
  <w:style w:type="paragraph" w:styleId="Header">
    <w:name w:val="header"/>
    <w:basedOn w:val="Normal"/>
    <w:link w:val="a"/>
    <w:qFormat/>
    <w:pPr>
      <w:tabs>
        <w:tab w:val="center" w:pos="4153"/>
        <w:tab w:val="right" w:pos="8306"/>
      </w:tabs>
      <w:snapToGrid w:val="0"/>
      <w:jc w:val="center"/>
    </w:pPr>
    <w:rPr>
      <w:sz w:val="18"/>
      <w:szCs w:val="18"/>
    </w:rPr>
  </w:style>
  <w:style w:type="paragraph" w:styleId="NormalWeb">
    <w:name w:val="Normal (Web)"/>
    <w:basedOn w:val="Normal"/>
    <w:qFormat/>
    <w:rPr>
      <w:sz w:val="24"/>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rPr>
  </w:style>
  <w:style w:type="paragraph" w:customStyle="1" w:styleId="-19-h">
    <w:name w:val="内容块-19-h"/>
    <w:basedOn w:val="Normal"/>
    <w:next w:val="Normal"/>
    <w:qFormat/>
    <w:pPr>
      <w:pBdr>
        <w:left w:val="dashDotStroked" w:sz="24" w:space="13" w:color="E54C5E" w:themeColor="accent6"/>
      </w:pBdr>
      <w:tabs>
        <w:tab w:val="left" w:pos="0"/>
        <w:tab w:val="left" w:pos="420"/>
      </w:tabs>
      <w:ind w:left="323"/>
      <w:textAlignment w:val="center"/>
    </w:pPr>
    <w:rPr>
      <w:rFonts w:ascii="Arial" w:hAnsi="Arial"/>
      <w:szCs w:val="21"/>
    </w:rPr>
  </w:style>
  <w:style w:type="character" w:customStyle="1" w:styleId="a">
    <w:name w:val="页眉 字符"/>
    <w:basedOn w:val="DefaultParagraphFont"/>
    <w:link w:val="Header"/>
    <w:qFormat/>
    <w:rPr>
      <w:sz w:val="18"/>
      <w:szCs w:val="18"/>
    </w:rPr>
  </w:style>
  <w:style w:type="character" w:customStyle="1" w:styleId="a0">
    <w:name w:val="页脚 字符"/>
    <w:basedOn w:val="DefaultParagraphFont"/>
    <w:link w:val="Footer"/>
    <w:qFormat/>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6.svg" /><Relationship Id="rId11" Type="http://schemas.openxmlformats.org/officeDocument/2006/relationships/image" Target="media/image7.png" /><Relationship Id="rId12" Type="http://schemas.openxmlformats.org/officeDocument/2006/relationships/image" Target="media/image8.jpeg" /><Relationship Id="rId13" Type="http://schemas.openxmlformats.org/officeDocument/2006/relationships/image" Target="media/image9.jpeg" /><Relationship Id="rId14" Type="http://schemas.openxmlformats.org/officeDocument/2006/relationships/header" Target="header1.xml" /><Relationship Id="rId15" Type="http://schemas.openxmlformats.org/officeDocument/2006/relationships/footer" Target="footer1.xml" /><Relationship Id="rId16" Type="http://schemas.openxmlformats.org/officeDocument/2006/relationships/theme" Target="theme/theme1.xml" /><Relationship Id="rId17"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svg" /><Relationship Id="rId9" Type="http://schemas.openxmlformats.org/officeDocument/2006/relationships/image" Target="media/image5.png" /></Relationships>
</file>

<file path=word/_rels/fontTable.xml.rels><?xml version="1.0" encoding="utf-8" standalone="yes"?><Relationships xmlns="http://schemas.openxmlformats.org/package/2006/relationships"><Relationship Id="rId1" Type="http://schemas.openxmlformats.org/officeDocument/2006/relationships/font" Target="fonts/font1.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s>
</file>

<file path=word/_rels/footer1.xml.rels><?xml version="1.0" encoding="utf-8" standalone="yes"?><Relationships xmlns="http://schemas.openxmlformats.org/package/2006/relationships"><Relationship Id="rId1" Type="http://schemas.openxmlformats.org/officeDocument/2006/relationships/image" Target="media/image11.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0.png" /><Relationship Id="rId2" Type="http://schemas.openxmlformats.org/officeDocument/2006/relationships/image" Target="media/image11.png" /><Relationship Id="rId3"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59</Pages>
  <Words>7031</Words>
  <Characters>7175</Characters>
  <Application>Microsoft Office Word</Application>
  <DocSecurity>0</DocSecurity>
  <Lines>0</Lines>
  <Paragraphs>0</Paragraphs>
  <ScaleCrop>false</ScaleCrop>
  <Company/>
  <LinksUpToDate>false</LinksUpToDate>
  <CharactersWithSpaces>7267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WSJ</dc:creator>
  <dc:description>原创精品资源学科网独家享有版权，侵权必究！</dc:description>
  <cp:lastModifiedBy>琼</cp:lastModifiedBy>
  <cp:revision>1</cp:revision>
  <dcterms:created xsi:type="dcterms:W3CDTF">2026-04-13T02:57:00Z</dcterms:created>
  <dcterms:modified xsi:type="dcterms:W3CDTF">2026-04-28T10:10:06Z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